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ENTREVISTA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CHRISTOPHER RAEBURN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Emily Norval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WEAR</w:t>
      </w:r>
      <w:r w:rsidDel="00000000" w:rsidR="00000000" w:rsidRPr="00000000">
        <w:rPr>
          <w:rFonts w:ascii="Times New Roman" w:cs="Times New Roman" w:eastAsia="Times New Roman" w:hAnsi="Times New Roman"/>
          <w:rtl w:val="0"/>
        </w:rPr>
        <w:t xml:space="preserve"> HABLA CON EL DIRECTOR ARTÍSTICO DE </w:t>
      </w:r>
      <w:r w:rsidDel="00000000" w:rsidR="00000000" w:rsidRPr="00000000">
        <w:rPr>
          <w:rFonts w:ascii="Times New Roman" w:cs="Times New Roman" w:eastAsia="Times New Roman" w:hAnsi="Times New Roman"/>
          <w:b w:val="1"/>
          <w:rtl w:val="0"/>
        </w:rPr>
        <w:t xml:space="preserve">VICTORINOX </w:t>
      </w:r>
      <w:r w:rsidDel="00000000" w:rsidR="00000000" w:rsidRPr="00000000">
        <w:rPr>
          <w:rFonts w:ascii="Times New Roman" w:cs="Times New Roman" w:eastAsia="Times New Roman" w:hAnsi="Times New Roman"/>
          <w:rtl w:val="0"/>
        </w:rPr>
        <w:t xml:space="preserve">Y EL DISEÑADOR LONDINENSE SOBRE TRADICIÓN, ÉTICA E INSPIRACIÓN CREATIVA.</w:t>
      </w:r>
    </w:p>
    <w:p w:rsidR="00000000" w:rsidDel="00000000" w:rsidP="00000000" w:rsidRDefault="00000000" w:rsidRPr="00000000">
      <w:pPr>
        <w:contextualSpacing w:val="0"/>
      </w:pPr>
      <w:bookmarkStart w:colFirst="0" w:colLast="0" w:name="h.gjdgxs" w:id="0"/>
      <w:bookmarkEnd w:id="0"/>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Pronto será tu 3º aniversario como Director Artístico de Victorinox, ¿Qué cambios has implementado durante estos años?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Estos tres años con Victorinox han pasado muy rápido. Durante este tiempo me gusta pensar que he añadido consistencia a la marca a través de las colecciones; también haber contribuido a que hayan sido cada vez más fuertes. Este OI 2015 ve nuestra primera colección en Edición Limitada: una gama de cuatro prendas de outerwear que ha introducido piel cosida a mano por primera vez. Manufacturada en Europa, consiste en un gran logro para la marca.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Has estado colaborando con Victorinox desde 2011, ¿Cómo se ha desarrollado esta relación?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Trabajar con Victorinox ha sido una experiencia natural y muy enriquecedora. Lo que empezó con una colección cápsula ha evolucionado como una asociación colaborativa que me ha permitido involucrarme a través de todo el proceso de diseño textil, pero también me ha permitido ampliar mi papel trabajando de manera cercana con otras divisiones de Victorinox.</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¿Nos puedes hacer un adelanto de la colección PV2016?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La inspiración del diseño se deriva el concepto RANGER: incorporando aventura y adaptabilidad. La colección se centra en la dualidad constante de la navegación tanto del estrés urbano como de las excursiones rurales para dar un mayor grado de versatilidad, además de portabilidad.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Eres conocido por tu conciencia ética, como también lo es Victorinox. ¿Es ese un punto de partida para ti cuando se trata de diseño?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Cuando empecé a trabajar con Victorinox y fuí a la fábrica de navajas en Ibach, Suiza, me quedé impresionado por el enfoque ético de Victorinox sobre sus productos, lo que está en plena concordancia con mis propias creencias. Estamos constantemente buscando materiales, procesos y socios que puedan ayudar a mejorar nuestro enfoque hacia la sostenibilidad.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Victorinox cuenta con una rica tradición y un gran archivo - esto debe ser una brillante fuente de inspiración.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Sin duda, y es algo que actualmente todavía consulto. Ya sea el uso de mantas militares suizas en bolsos de Raeburn o la búsqueda de impresiones para temporadas futuras.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¿Qué crees que has aportado a Victorinox y qué has ganado de la experiencia a cambio?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Me gustaría pensar que he aportado mucho de mi negocio a Victorinox; las lecciones de una start-up pueden ser muy útiles. Sobre todo he intentado aportar más alma al trabajo que estamos haciendo con la Apparel Division - más profundidad, calidad e historias a nuestros productos. En cuanto a mi aprendizaje, ha sido muy fructífero conocer más en detalle una compañía realmente global.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Continúas trabajando también con tu propia marca - ¿Cuál es el enfoque?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Estoy  muy ilusionado sobre como nuestro concepto “Remade” puede evolucionar y cómo podría traducirse en otras áreas como diseño de producto, mobiliario o incluso arquitectura.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Fuiste el primer diseñador en recibir la esponsorización NEWGEN en la London Fashion Week tanto por la colección para hombre como para mujer en la misma temporada. ¿Crees que Londres es particularmente una buena ciudad para jóvenes diseñadores?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Absolutamente - Londres ha sido conocida durante años como centro de creatividad y existen muchas redes de apoyo como el British Fashion Council y el Centre for Fashion Enterprise, que realmente ayuda a diseñadores y canaliza esa creatividad y apoyo para obtener esa parte comercial y hacer crecer negocios. </w:t>
      </w:r>
    </w:p>
    <w:p w:rsidR="00000000" w:rsidDel="00000000" w:rsidP="00000000" w:rsidRDefault="00000000" w:rsidRPr="00000000">
      <w:pPr>
        <w:contextualSpacing w:val="0"/>
      </w:pPr>
      <w:r w:rsidDel="00000000" w:rsidR="00000000" w:rsidRPr="00000000">
        <w:rPr>
          <w:rtl w:val="0"/>
        </w:rPr>
      </w:r>
    </w:p>
    <w:sectPr>
      <w:pgSz w:h="16840" w:w="1190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