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b w:val="1"/>
          <w:bCs w:val="1"/>
          <w:lang w:val="ru-RU"/>
        </w:rPr>
      </w:pPr>
      <w:r>
        <w:rPr>
          <w:b w:val="1"/>
          <w:bCs w:val="1"/>
          <w:shd w:val="clear" w:color="auto" w:fill="ffff00"/>
          <w:rtl w:val="0"/>
          <w:lang w:val="ru-RU"/>
        </w:rPr>
        <w:t>SPOT ON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lang w:val="ru-RU"/>
        </w:rPr>
      </w:pPr>
    </w:p>
    <w:p>
      <w:pPr>
        <w:pStyle w:val="Body A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КИТАЙ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b w:val="1"/>
          <w:bCs w:val="1"/>
          <w:rtl w:val="0"/>
          <w:lang w:val="ru-RU"/>
        </w:rPr>
        <w:t>ПОШЛИНА НА МЕЖДУНАРОДНУЮ ИНТЕРНЕТ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ТОРГОВЛЮ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>Yanie Durocher</w:t>
      </w:r>
    </w:p>
    <w:p>
      <w:pPr>
        <w:pStyle w:val="Body A"/>
        <w:rPr>
          <w:lang w:val="ru-RU"/>
        </w:rPr>
      </w:pPr>
      <w:r>
        <w:rPr>
          <w:rtl w:val="0"/>
          <w:lang w:val="ru-RU"/>
        </w:rPr>
        <w:t xml:space="preserve">С апреля </w:t>
      </w:r>
      <w:r>
        <w:rPr>
          <w:rtl w:val="0"/>
          <w:lang w:val="ru-RU"/>
        </w:rPr>
        <w:t xml:space="preserve">2016 </w:t>
      </w:r>
      <w:r>
        <w:rPr>
          <w:rtl w:val="0"/>
          <w:lang w:val="ru-RU"/>
        </w:rPr>
        <w:t>года в Китае вступила в силу новая таможенная пошлина на импорт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составляющая примерно </w:t>
      </w:r>
      <w:r>
        <w:rPr>
          <w:rtl w:val="0"/>
          <w:lang w:val="ru-RU"/>
        </w:rPr>
        <w:t xml:space="preserve">12 % </w:t>
      </w:r>
      <w:r>
        <w:rPr>
          <w:rtl w:val="0"/>
          <w:lang w:val="ru-RU"/>
        </w:rPr>
        <w:t>от суммы покупки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компаний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специализирующихся на импортных товарах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испытание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то же время — удачная возможность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некоторым из них придется снизить свой процент от продаж и пересмотреть ценовую политику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удержать покупателей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 другой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новая законодательная норма может сгладить конкуренцию между официально зарегистрированными компаниями и серым рынком — продавцами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«даигоу»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есть неофициальными импортерами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выступают посредниками в </w:t>
      </w:r>
      <w:r>
        <w:rPr>
          <w:shd w:val="clear" w:color="auto" w:fill="ffff00"/>
          <w:rtl w:val="0"/>
          <w:lang w:val="ru-RU"/>
        </w:rPr>
        <w:t xml:space="preserve">прямой дистрибуции от одного конечного потребителя к другому </w:t>
      </w:r>
      <w:r>
        <w:rPr>
          <w:shd w:val="clear" w:color="auto" w:fill="ffff00"/>
          <w:rtl w:val="0"/>
          <w:lang w:val="ru-RU"/>
        </w:rPr>
        <w:t>(</w:t>
      </w:r>
      <w:r>
        <w:rPr>
          <w:shd w:val="clear" w:color="auto" w:fill="ffff00"/>
          <w:rtl w:val="0"/>
          <w:lang w:val="ru-RU"/>
        </w:rPr>
        <w:t>С</w:t>
      </w:r>
      <w:r>
        <w:rPr>
          <w:shd w:val="clear" w:color="auto" w:fill="ffff00"/>
          <w:rtl w:val="0"/>
          <w:lang w:val="ru-RU"/>
        </w:rPr>
        <w:t>2</w:t>
      </w:r>
      <w:r>
        <w:rPr>
          <w:shd w:val="clear" w:color="auto" w:fill="ffff00"/>
          <w:rtl w:val="0"/>
          <w:lang w:val="ru-RU"/>
        </w:rPr>
        <w:t>С</w:t>
      </w:r>
      <w:r>
        <w:rPr>
          <w:shd w:val="clear" w:color="auto" w:fill="ffff00"/>
          <w:rtl w:val="0"/>
          <w:lang w:val="ru-RU"/>
        </w:rPr>
        <w:t>-</w:t>
      </w:r>
      <w:r>
        <w:rPr>
          <w:shd w:val="clear" w:color="auto" w:fill="ffff00"/>
          <w:rtl w:val="0"/>
          <w:lang w:val="ru-RU"/>
        </w:rPr>
        <w:t>дистрибуции</w:t>
      </w:r>
      <w:r>
        <w:rPr>
          <w:shd w:val="clear" w:color="auto" w:fill="ffff00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Такие продавцы действуют как индивидуальные покупатели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конкурентным ценам перепродавая вещи в Китай через такие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</w:t>
      </w:r>
      <w:r>
        <w:rPr>
          <w:rtl w:val="0"/>
          <w:lang w:val="ru-RU"/>
        </w:rPr>
        <w:t xml:space="preserve">Wechat </w:t>
      </w:r>
      <w:r>
        <w:rPr>
          <w:rtl w:val="0"/>
          <w:lang w:val="ru-RU"/>
        </w:rPr>
        <w:t xml:space="preserve">или </w:t>
      </w:r>
      <w:r>
        <w:rPr>
          <w:rtl w:val="0"/>
          <w:lang w:val="ru-RU"/>
        </w:rPr>
        <w:t xml:space="preserve">Taobao, </w:t>
      </w:r>
      <w:r>
        <w:rPr>
          <w:rtl w:val="0"/>
          <w:lang w:val="ru-RU"/>
        </w:rPr>
        <w:t>и подрывая тем самым официальную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торговлю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Поскольку товары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даигоу перепродают в Китай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объявляют «личными вещами»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 товары не облагаются или почти не облагаются пошлинами</w:t>
      </w:r>
      <w:r>
        <w:rPr>
          <w:rtl w:val="0"/>
          <w:lang w:val="ru-RU"/>
        </w:rPr>
        <w:t>.</w:t>
      </w:r>
    </w:p>
    <w:p>
      <w:pPr>
        <w:pStyle w:val="Body A"/>
        <w:rPr>
          <w:lang w:val="ru-RU"/>
        </w:rPr>
      </w:pPr>
      <w:r>
        <w:rPr>
          <w:rtl w:val="0"/>
          <w:lang w:val="ru-RU"/>
        </w:rPr>
        <w:t xml:space="preserve">«Если клиенты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магазина</w:t>
      </w:r>
      <w:r>
        <w:rPr>
          <w:rtl w:val="0"/>
          <w:lang w:val="ru-RU"/>
        </w:rPr>
        <w:t xml:space="preserve">] </w:t>
      </w:r>
      <w:r>
        <w:rPr>
          <w:rtl w:val="0"/>
          <w:lang w:val="ru-RU"/>
        </w:rPr>
        <w:t>очень чувствительны к колебаниям цен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это увеличивает объем капиталовложений в площадку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чтобы сохранить низкую наценку</w:t>
      </w:r>
      <w:r>
        <w:rPr>
          <w:rtl w:val="0"/>
          <w:lang w:val="ru-RU"/>
        </w:rPr>
        <w:t xml:space="preserve">]. </w:t>
      </w:r>
      <w:r>
        <w:rPr>
          <w:rtl w:val="0"/>
          <w:lang w:val="ru-RU"/>
        </w:rPr>
        <w:t>Но если для потребителя важно в первую очередь качество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повышение цены не будет иметь для него большого значения и не повлияет на его решение купить товар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— говорит Мэйбл Йао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глава агентства </w:t>
      </w:r>
      <w:r>
        <w:rPr>
          <w:color w:val="1c1c1c"/>
          <w:u w:color="1c1c1c"/>
          <w:rtl w:val="0"/>
          <w:lang w:val="ru-RU"/>
        </w:rPr>
        <w:t>Glimpse PR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разрабатывающего для международных фэшн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брендов в Китае стратегии привлечения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покупателей в офлайновые магазины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— Это определенно поднимет конкуренцию цен на следующий уровень»</w:t>
      </w:r>
      <w:r>
        <w:rPr>
          <w:rtl w:val="0"/>
          <w:lang w:val="ru-RU"/>
        </w:rPr>
        <w:t xml:space="preserve">.     </w:t>
      </w:r>
    </w:p>
    <w:p>
      <w:pPr>
        <w:pStyle w:val="Body A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ПАНОРАМА РОССИЙСКОГО КРИЗИСА</w:t>
      </w:r>
    </w:p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/>
          <w:color w:val="1a1a1a"/>
          <w:sz w:val="24"/>
          <w:szCs w:val="24"/>
          <w:u w:color="1a1a1a"/>
          <w:rtl w:val="0"/>
          <w:lang w:val="en-US"/>
        </w:rPr>
        <w:t>Maria Konovalova</w:t>
      </w:r>
    </w:p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color w:val="1a1a1a"/>
          <w:sz w:val="24"/>
          <w:szCs w:val="24"/>
          <w:u w:color="1a1a1a"/>
        </w:rPr>
      </w:pPr>
    </w:p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color w:val="1a1a1a"/>
          <w:sz w:val="24"/>
          <w:szCs w:val="24"/>
          <w:u w:color="1a1a1a"/>
        </w:rPr>
      </w:pPr>
    </w:p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 xml:space="preserve">В 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2015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году модному бизнесу в России пришлось нелегко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.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В результате обрушения рубля и общего экономического спада многие международные компании покинули российский рынок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.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Однако у кризиса оказались и положительные стороны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: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многие российские граждане не стали проводить отпуска за границей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заменив путешествия поездками по магазинам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.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Осознав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что кризис будет долгим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покупатели перестроили свою модель потребления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. </w:t>
      </w:r>
    </w:p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color w:val="1a1a1a"/>
          <w:sz w:val="24"/>
          <w:szCs w:val="24"/>
          <w:u w:color="1a1a1a"/>
        </w:rPr>
      </w:pPr>
    </w:p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Под влиянием новых покупательских предпочтений меняется и система закупок в розничных магазинах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.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Несмотря на падение рубля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это не обязательно означает снижение цен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: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скорее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ритейлеры рассчитывают на проверенные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пусть даже далеко не традиционные марки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.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«Мы сделали ставку на бестселлеры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при покупке которых цена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как правило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не имеет значения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 xml:space="preserve">— говорят сотрудники магазина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en-US"/>
        </w:rPr>
        <w:t>“</w:t>
      </w:r>
      <w:r>
        <w:rPr>
          <w:rFonts w:ascii="Times New Roman" w:hAnsi="Times New Roman" w:hint="default"/>
          <w:b w:val="1"/>
          <w:bCs w:val="1"/>
          <w:color w:val="1a1a1a"/>
          <w:sz w:val="24"/>
          <w:szCs w:val="24"/>
          <w:u w:color="1a1a1a"/>
          <w:rtl w:val="0"/>
          <w:lang w:val="ru-RU"/>
        </w:rPr>
        <w:t xml:space="preserve">Кузнецкий Мост </w:t>
      </w:r>
      <w:r>
        <w:rPr>
          <w:rFonts w:ascii="Times New Roman" w:hAnsi="Times New Roman"/>
          <w:b w:val="1"/>
          <w:bCs w:val="1"/>
          <w:color w:val="1a1a1a"/>
          <w:sz w:val="24"/>
          <w:szCs w:val="24"/>
          <w:u w:color="1a1a1a"/>
          <w:rtl w:val="0"/>
        </w:rPr>
        <w:t>20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en-US"/>
        </w:rPr>
        <w:t>”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.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— За коллекциями Гоши Рубчинского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/>
          <w:b w:val="1"/>
          <w:bCs w:val="1"/>
          <w:color w:val="1a1a1a"/>
          <w:sz w:val="24"/>
          <w:szCs w:val="24"/>
          <w:u w:color="1a1a1a"/>
          <w:rtl w:val="0"/>
          <w:lang w:val="fr-FR"/>
        </w:rPr>
        <w:t>Vetements, Raf Simons</w:t>
      </w:r>
      <w:r>
        <w:rPr>
          <w:rFonts w:ascii="Times New Roman" w:hAnsi="Times New Roman"/>
          <w:i w:val="1"/>
          <w:iCs w:val="1"/>
          <w:color w:val="1a1a1a"/>
          <w:sz w:val="24"/>
          <w:szCs w:val="24"/>
          <w:u w:color="1a1a1a"/>
          <w:rtl w:val="0"/>
        </w:rPr>
        <w:t xml:space="preserve">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или</w:t>
      </w:r>
      <w:r>
        <w:rPr>
          <w:rFonts w:ascii="Times New Roman" w:hAnsi="Times New Roman"/>
          <w:i w:val="1"/>
          <w:iCs w:val="1"/>
          <w:color w:val="1a1a1a"/>
          <w:sz w:val="24"/>
          <w:szCs w:val="24"/>
          <w:u w:color="1a1a1a"/>
          <w:rtl w:val="0"/>
        </w:rPr>
        <w:t xml:space="preserve"> </w:t>
      </w:r>
      <w:r>
        <w:rPr>
          <w:rFonts w:ascii="Times New Roman" w:hAnsi="Times New Roman"/>
          <w:b w:val="1"/>
          <w:bCs w:val="1"/>
          <w:color w:val="1a1a1a"/>
          <w:sz w:val="24"/>
          <w:szCs w:val="24"/>
          <w:u w:color="1a1a1a"/>
          <w:rtl w:val="0"/>
        </w:rPr>
        <w:t>J.W.Anderson</w:t>
      </w:r>
      <w:r>
        <w:rPr>
          <w:rFonts w:ascii="Times New Roman" w:hAnsi="Times New Roman"/>
          <w:i w:val="1"/>
          <w:iCs w:val="1"/>
          <w:color w:val="1a1a1a"/>
          <w:sz w:val="24"/>
          <w:szCs w:val="24"/>
          <w:u w:color="1a1a1a"/>
          <w:rtl w:val="0"/>
        </w:rPr>
        <w:t xml:space="preserve">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в любом случае выстраивается очередь»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>.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 </w:t>
      </w:r>
    </w:p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color w:val="1a1a1a"/>
          <w:sz w:val="24"/>
          <w:szCs w:val="24"/>
          <w:u w:color="1a1a1a"/>
        </w:rPr>
      </w:pPr>
    </w:p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Снижение арендной платы мотивирует монобрендовых новичков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 xml:space="preserve">таких как </w:t>
      </w:r>
      <w:r>
        <w:rPr>
          <w:rFonts w:ascii="Times New Roman" w:hAnsi="Times New Roman"/>
          <w:b w:val="1"/>
          <w:bCs w:val="1"/>
          <w:color w:val="1a1a1a"/>
          <w:sz w:val="24"/>
          <w:szCs w:val="24"/>
          <w:u w:color="1a1a1a"/>
          <w:rtl w:val="0"/>
          <w:lang w:val="en-US"/>
        </w:rPr>
        <w:t>Jil Sander Navy, Aigle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 xml:space="preserve"> или </w:t>
      </w:r>
      <w:r>
        <w:rPr>
          <w:rFonts w:ascii="Times New Roman" w:hAnsi="Times New Roman"/>
          <w:b w:val="1"/>
          <w:bCs w:val="1"/>
          <w:color w:val="1a1a1a"/>
          <w:sz w:val="24"/>
          <w:szCs w:val="24"/>
          <w:u w:color="1a1a1a"/>
          <w:rtl w:val="0"/>
          <w:lang w:val="en-US"/>
        </w:rPr>
        <w:t>Henry Cotton`s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 xml:space="preserve">и способствует открытию новых российских мультибрендовых бутиков — можно привести в пример обувной магазин </w:t>
      </w:r>
      <w:r>
        <w:rPr>
          <w:rFonts w:ascii="Times New Roman" w:hAnsi="Times New Roman"/>
          <w:b w:val="1"/>
          <w:bCs w:val="1"/>
          <w:color w:val="1a1a1a"/>
          <w:sz w:val="24"/>
          <w:szCs w:val="24"/>
          <w:u w:color="1a1a1a"/>
          <w:rtl w:val="0"/>
          <w:lang w:val="pt-PT"/>
        </w:rPr>
        <w:t>Porta 9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концепт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>-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стор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 </w:t>
      </w:r>
      <w:r>
        <w:rPr>
          <w:rFonts w:ascii="Times New Roman" w:hAnsi="Times New Roman"/>
          <w:b w:val="1"/>
          <w:bCs w:val="1"/>
          <w:color w:val="1a1a1a"/>
          <w:sz w:val="24"/>
          <w:szCs w:val="24"/>
          <w:u w:color="1a1a1a"/>
          <w:rtl w:val="0"/>
        </w:rPr>
        <w:t>Nebo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 xml:space="preserve">ювелирный магазин 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  <w:lang w:val="ru-RU"/>
        </w:rPr>
        <w:t>"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Сахарок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  <w:lang w:val="ru-RU"/>
        </w:rPr>
        <w:t xml:space="preserve">".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Некоторые компании видят в кризисе новые возможности для развития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: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 xml:space="preserve">магазин 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  <w:lang w:val="pt-PT"/>
        </w:rPr>
        <w:t>Porta 9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 xml:space="preserve"> запустил собственную линию недорогой обуви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 xml:space="preserve">а «Кузнецкий мост 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>20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»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через свой интернет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>-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магазин осуществляет доставку по всему миру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расширяя таким образом покупательскую базу за счет людей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которых не коснулся российский кризис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.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Кроме того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компания ввела систему предзаказа коллекций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,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которая страхует российских покупателей от колебаний курса валют и обеспечивает кассовый оборот</w:t>
      </w:r>
      <w:r>
        <w:rPr>
          <w:rFonts w:ascii="Times New Roman" w:hAnsi="Times New Roman"/>
          <w:color w:val="1a1a1a"/>
          <w:sz w:val="24"/>
          <w:szCs w:val="24"/>
          <w:u w:color="1a1a1a"/>
          <w:rtl w:val="0"/>
        </w:rPr>
        <w:t xml:space="preserve">. </w:t>
      </w:r>
      <w:r>
        <w:rPr>
          <w:rFonts w:ascii="Times New Roman" w:hAnsi="Times New Roman" w:hint="default"/>
          <w:color w:val="1a1a1a"/>
          <w:sz w:val="24"/>
          <w:szCs w:val="24"/>
          <w:u w:color="1a1a1a"/>
          <w:rtl w:val="0"/>
          <w:lang w:val="ru-RU"/>
        </w:rPr>
        <w:t> </w:t>
      </w:r>
    </w:p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color w:val="1a1a1a"/>
          <w:sz w:val="24"/>
          <w:szCs w:val="24"/>
          <w:u w:color="1a1a1a"/>
        </w:rPr>
      </w:pPr>
    </w:p>
    <w:p>
      <w:pPr>
        <w:pStyle w:val="Body"/>
        <w:widowControl w:val="0"/>
        <w:spacing w:after="0" w:line="240" w:lineRule="auto"/>
      </w:pPr>
      <w:r>
        <w:rPr>
          <w:rFonts w:ascii="Times New Roman" w:cs="Times New Roman" w:hAnsi="Times New Roman" w:eastAsia="Times New Roman"/>
          <w:color w:val="1a1a1a"/>
          <w:sz w:val="24"/>
          <w:szCs w:val="24"/>
          <w:u w:color="1a1a1a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