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hAnsi="Times New Roman"/>
          <w:b w:val="1"/>
          <w:bCs w:val="1"/>
          <w:caps w:val="1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en-US"/>
        </w:rPr>
        <w:t>Design Bubbles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Fonts w:ascii="宋体" w:cs="宋体" w:hAnsi="宋体" w:eastAsia="宋体"/>
          <w:rtl w:val="0"/>
          <w:lang w:val="zh-TW" w:eastAsia="zh-TW"/>
        </w:rPr>
        <w:t>香槟蜡烛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Fonts w:ascii="宋体" w:cs="宋体" w:hAnsi="宋体" w:eastAsia="宋体"/>
          <w:rtl w:val="0"/>
          <w:lang w:val="zh-TW" w:eastAsia="zh-TW"/>
        </w:rPr>
        <w:t>真正的时尚家居，除了香槟，还有什么是必须具备的？蜡烛。于是，德国新公司</w:t>
      </w:r>
      <w:r>
        <w:rPr>
          <w:b w:val="1"/>
          <w:bCs w:val="1"/>
          <w:rtl w:val="0"/>
          <w:lang w:val="en-US"/>
        </w:rPr>
        <w:t>Design Bubbles</w:t>
      </w:r>
      <w:r>
        <w:rPr>
          <w:rFonts w:ascii="宋体" w:cs="宋体" w:hAnsi="宋体" w:eastAsia="宋体"/>
          <w:rtl w:val="0"/>
          <w:lang w:val="zh-TW" w:eastAsia="zh-TW"/>
        </w:rPr>
        <w:t>灵机一动，结合两者，首创讨香槟迷欢心的典雅香薰蜡烛。香槟空瓶被磨至仅保留商标的高度，然后填满比普通蜡更持久更干净的纯素有机黄豆蜡，以柑橘、柠檬罗勒、牡丹和檀木四种香气面市。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tl w:val="0"/>
          <w:lang w:val="en-US"/>
        </w:rPr>
        <w:t>Design Bubbles</w:t>
      </w:r>
      <w:r>
        <w:rPr>
          <w:rFonts w:ascii="宋体" w:cs="宋体" w:hAnsi="宋体" w:eastAsia="宋体"/>
          <w:rtl w:val="0"/>
          <w:lang w:val="zh-TW" w:eastAsia="zh-TW"/>
        </w:rPr>
        <w:t>跟高端香槟大牌厂家合作，推出包括一瓶蜡烛及其对应（满满整瓶！）起泡酒的礼品包。配上奢华包装，这份礼品不愧是为概念店室内装饰与礼品区加分的摆设。</w:t>
      </w:r>
      <w:r>
        <w:rPr>
          <w:rtl w:val="0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"http://www.designbubbles.de"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http://www.designbubbles.de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iBrush 365</w:t>
      </w:r>
    </w:p>
    <w:p>
      <w:pPr>
        <w:pStyle w:val="Body"/>
        <w:rPr>
          <w:rStyle w:val="None"/>
        </w:rPr>
      </w:pPr>
      <w:r>
        <w:rPr>
          <w:rStyle w:val="None"/>
          <w:rFonts w:ascii="宋体" w:cs="宋体" w:hAnsi="宋体" w:eastAsia="宋体"/>
          <w:rtl w:val="0"/>
          <w:lang w:val="zh-TW" w:eastAsia="zh-TW"/>
        </w:rPr>
        <w:t>旋转牙刷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rFonts w:ascii="宋体" w:cs="宋体" w:hAnsi="宋体" w:eastAsia="宋体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iBrush 365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重新定义未来口腔护理，推出全新电动牙刷，保证刷牙时最正确最有效的手势和技巧。由</w:t>
      </w:r>
      <w:r>
        <w:rPr>
          <w:rStyle w:val="None"/>
          <w:rtl w:val="0"/>
          <w:lang w:val="en-US"/>
        </w:rPr>
        <w:t>Kickstarter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网上集资赞助成立的该纽约保健科技公司，其双向</w:t>
      </w:r>
      <w:r>
        <w:rPr>
          <w:rStyle w:val="None"/>
          <w:rtl w:val="0"/>
        </w:rPr>
        <w:t>360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度旋转圆形刷头已申请专利，为人们提供全面牙齿清洁及按摩紧致牙龈的刷牙体验。</w:t>
      </w:r>
    </w:p>
    <w:p>
      <w:pPr>
        <w:pStyle w:val="Body"/>
        <w:rPr>
          <w:rStyle w:val="None"/>
        </w:rPr>
      </w:pPr>
      <w:r>
        <w:rPr>
          <w:rStyle w:val="None"/>
          <w:rFonts w:ascii="宋体" w:cs="宋体" w:hAnsi="宋体" w:eastAsia="宋体"/>
          <w:rtl w:val="0"/>
          <w:lang w:val="zh-TW" w:eastAsia="zh-TW"/>
        </w:rPr>
        <w:t>电动牙刷遵从牙医建议，运动轨迹由牙龈开始向上洗刷牙齿，继而重复上下旋转动作。刷头由多达</w:t>
      </w:r>
      <w:r>
        <w:rPr>
          <w:rStyle w:val="None"/>
          <w:rtl w:val="0"/>
        </w:rPr>
        <w:t>13,200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根微型鬓毛组成，不但胜任繁重的清洁工作，在去除牙菌斑、保护牙釉质及健康牙龈也有卓越贡献。更重要的是，</w:t>
      </w:r>
      <w:r>
        <w:rPr>
          <w:rStyle w:val="None"/>
          <w:rtl w:val="0"/>
          <w:lang w:val="en-US"/>
        </w:rPr>
        <w:t>iBrush 365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外观设计新颖，有多种色彩选择，无疑将成为另一项吸人眼球的高科技玩意。电动牙刷内含锂电电池，充电轻松简易，零售价定为</w:t>
      </w:r>
      <w:r>
        <w:rPr>
          <w:rStyle w:val="None"/>
          <w:rtl w:val="0"/>
        </w:rPr>
        <w:t xml:space="preserve">79 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美元（约</w:t>
      </w:r>
      <w:r>
        <w:rPr>
          <w:rStyle w:val="None"/>
          <w:rtl w:val="0"/>
        </w:rPr>
        <w:t>71</w:t>
      </w:r>
      <w:r>
        <w:rPr>
          <w:rStyle w:val="None"/>
          <w:rFonts w:ascii="宋体" w:cs="宋体" w:hAnsi="宋体" w:eastAsia="宋体"/>
          <w:rtl w:val="0"/>
          <w:lang w:val="zh-TW" w:eastAsia="zh-TW"/>
        </w:rPr>
        <w:t>欧元）。</w:t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 xml:space="preserve">www.ibrush365.com </w:t>
      </w:r>
    </w:p>
    <w:p>
      <w:pPr>
        <w:pStyle w:val="Body"/>
        <w:rPr>
          <w:rStyle w:val="None"/>
        </w:rPr>
      </w:pPr>
      <w:r>
        <w:rPr>
          <w:rStyle w:val="None"/>
          <w:rtl w:val="0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Bitossi Ceramiche by Layer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zh-TW" w:eastAsia="zh-TW"/>
        </w:rPr>
      </w:pP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陶瓷充电托盘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来自伦敦的老牌设计公司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Layer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最近跟意大利奢侈陶瓷品牌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Bitossi Ceramiche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合作，由主脑设计师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Benjamin Hubert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操刀，推出个性充电托盘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Charge Trays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。这些彷如艺术的高端产品，交融现代设计与科技一体，造型优美的铸炼陶瓷与无线充电系统完美结合。成品以最无缝简约的形式融入家居，同时还整合了可以更新升级的模块技术。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Charge Trays</w:t>
      </w:r>
      <w:r>
        <w:rPr>
          <w:rStyle w:val="None"/>
          <w:rFonts w:ascii="宋体" w:cs="宋体" w:hAnsi="宋体" w:eastAsia="宋体"/>
          <w:sz w:val="24"/>
          <w:szCs w:val="24"/>
          <w:rtl w:val="0"/>
          <w:lang w:val="zh-TW" w:eastAsia="zh-TW"/>
        </w:rPr>
        <w:t>利用置于托盘下方的压缩成型硅块嵌入充电系统，而超凡高端的陶瓷托盘表面则有四种不同间隔，适应不同尺寸的小饰物。瓷盘共有盐巴、哑光、裂纹、荞面四种不落俗套的色调选择。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www.layerdesign.com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Normal (Web)"/>
        <w:shd w:val="clear" w:color="auto" w:fill="ffffff"/>
        <w:spacing w:before="0"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宋体">
    <w:charset w:val="00"/>
    <w:family w:val="roman"/>
    <w:pitch w:val="default"/>
  </w:font>
  <w:font w:name="Times">
    <w:charset w:val="00"/>
    <w:family w:val="roman"/>
    <w:pitch w:val="default"/>
  </w:font>
  <w:font w:name="Sofia Pr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fia Pro Light" w:cs="Sofia Pro Light" w:hAnsi="Sofia Pro Light" w:eastAsia="Sofia Pro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