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Business Profile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rtl w:val="0"/>
        </w:rPr>
        <w:t xml:space="preserve">BOGNER ON THE RISE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En septiembre de 2016, el multi talento Willy Bogner - esquiador, director de cine y emprendedor - transfirió la posición de Presidente y CEO de </w:t>
      </w:r>
      <w:r w:rsidDel="00000000" w:rsidR="00000000" w:rsidRPr="00000000">
        <w:rPr>
          <w:rFonts w:ascii="Times New Roman" w:cs="Times New Roman" w:eastAsia="Times New Roman" w:hAnsi="Times New Roman"/>
          <w:b w:val="1"/>
          <w:rtl w:val="0"/>
        </w:rPr>
        <w:t xml:space="preserve">Bogner </w:t>
      </w:r>
      <w:r w:rsidDel="00000000" w:rsidR="00000000" w:rsidRPr="00000000">
        <w:rPr>
          <w:rFonts w:ascii="Times New Roman" w:cs="Times New Roman" w:eastAsia="Times New Roman" w:hAnsi="Times New Roman"/>
          <w:rtl w:val="0"/>
        </w:rPr>
        <w:t xml:space="preserve">a Alexander Wirth.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 pesar de tener tan solo 41 años, Wirth tiene una impresionante carrera tanto en retail como en la industria, en su país y en el extranjero. Ganó su primera experiencia trabajando en el minorista alemán </w:t>
      </w:r>
      <w:r w:rsidDel="00000000" w:rsidR="00000000" w:rsidRPr="00000000">
        <w:rPr>
          <w:rFonts w:ascii="Times New Roman" w:cs="Times New Roman" w:eastAsia="Times New Roman" w:hAnsi="Times New Roman"/>
          <w:b w:val="1"/>
          <w:rtl w:val="0"/>
        </w:rPr>
        <w:t xml:space="preserve">Peek &amp; Cloppenburg</w:t>
      </w:r>
      <w:r w:rsidDel="00000000" w:rsidR="00000000" w:rsidRPr="00000000">
        <w:rPr>
          <w:rFonts w:ascii="Times New Roman" w:cs="Times New Roman" w:eastAsia="Times New Roman" w:hAnsi="Times New Roman"/>
          <w:rtl w:val="0"/>
        </w:rPr>
        <w:t xml:space="preserve">, posteriormente trabajó para </w:t>
      </w:r>
      <w:r w:rsidDel="00000000" w:rsidR="00000000" w:rsidRPr="00000000">
        <w:rPr>
          <w:rFonts w:ascii="Times New Roman" w:cs="Times New Roman" w:eastAsia="Times New Roman" w:hAnsi="Times New Roman"/>
          <w:b w:val="1"/>
          <w:rtl w:val="0"/>
        </w:rPr>
        <w:t xml:space="preserve">René Lezard</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Burberry</w:t>
      </w:r>
      <w:r w:rsidDel="00000000" w:rsidR="00000000" w:rsidRPr="00000000">
        <w:rPr>
          <w:rFonts w:ascii="Times New Roman" w:cs="Times New Roman" w:eastAsia="Times New Roman" w:hAnsi="Times New Roman"/>
          <w:rtl w:val="0"/>
        </w:rPr>
        <w:t xml:space="preserve">; y por último estuvo siete años en </w:t>
      </w:r>
      <w:r w:rsidDel="00000000" w:rsidR="00000000" w:rsidRPr="00000000">
        <w:rPr>
          <w:rFonts w:ascii="Times New Roman" w:cs="Times New Roman" w:eastAsia="Times New Roman" w:hAnsi="Times New Roman"/>
          <w:b w:val="1"/>
          <w:rtl w:val="0"/>
        </w:rPr>
        <w:t xml:space="preserve">Ralph Lauren</w:t>
      </w:r>
      <w:r w:rsidDel="00000000" w:rsidR="00000000" w:rsidRPr="00000000">
        <w:rPr>
          <w:rFonts w:ascii="Times New Roman" w:cs="Times New Roman" w:eastAsia="Times New Roman" w:hAnsi="Times New Roman"/>
          <w:rtl w:val="0"/>
        </w:rPr>
        <w:t xml:space="preserve">, donde fue CEO y VP para Europa Central. Wirth entiende y vive la combinación de deporte, moda y lujo, un requisito clave para impulsar una marca como </w:t>
      </w:r>
      <w:r w:rsidDel="00000000" w:rsidR="00000000" w:rsidRPr="00000000">
        <w:rPr>
          <w:rFonts w:ascii="Times New Roman" w:cs="Times New Roman" w:eastAsia="Times New Roman" w:hAnsi="Times New Roman"/>
          <w:b w:val="1"/>
          <w:rtl w:val="0"/>
        </w:rPr>
        <w:t xml:space="preserve">Bogner</w:t>
      </w:r>
      <w:r w:rsidDel="00000000" w:rsidR="00000000" w:rsidRPr="00000000">
        <w:rPr>
          <w:rFonts w:ascii="Times New Roman" w:cs="Times New Roman" w:eastAsia="Times New Roman" w:hAnsi="Times New Roman"/>
          <w:rtl w:val="0"/>
        </w:rPr>
        <w:t xml:space="preserve"> hacia lo más alto - mantenerla arriba.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Durante mucho tiempo, el mercado había estado influenciado por los rumores de venta de la compañía, entre otras especulaciones. Actualmente ha vuelto un sentido de calma, desapareciendo dichos rumores.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Ya se pueden observar las primeras mejoras significativas, no sólo la consolidación de Bogner entre las primeras posiciones en el mercado global, sino además proporcionando una progresión continua. La aspiración de la compañía es alcanzar y mantener una posición líder en el segmento de moda deportiva premium y de lujo. La línea </w:t>
      </w:r>
      <w:r w:rsidDel="00000000" w:rsidR="00000000" w:rsidRPr="00000000">
        <w:rPr>
          <w:rFonts w:ascii="Times New Roman" w:cs="Times New Roman" w:eastAsia="Times New Roman" w:hAnsi="Times New Roman"/>
          <w:b w:val="1"/>
          <w:rtl w:val="0"/>
        </w:rPr>
        <w:t xml:space="preserve">Sônia Bogner </w:t>
      </w:r>
      <w:r w:rsidDel="00000000" w:rsidR="00000000" w:rsidRPr="00000000">
        <w:rPr>
          <w:rFonts w:ascii="Times New Roman" w:cs="Times New Roman" w:eastAsia="Times New Roman" w:hAnsi="Times New Roman"/>
          <w:rtl w:val="0"/>
        </w:rPr>
        <w:t xml:space="preserve">continúa siendo una prioridad y el centro de su moda para mujer.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Bogner representa deporte elegante. Con el relanzamiento de su colección “Fire + Ice”, la marca se ha decidido por un posicionamiento más joven y cool. Wirth ya ha invertido notablemente en producto y ha recreado las competencias de la Junta Ejecutiva en materia de producción/compras. Otros hitos importantes de la restructuración de la compañía incluyen un fuerte posicionamiento en sus departamentos de Ventas, Digital, IT y Comunicación, además de contar con un nuevo CFO. Junto con la creatividad, la compañía pone mucho énfasis en la calidad y en una colaboración cercana con sus proveedores - además de una relación calidad-precio óptima.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El feedback de compradores en los recientes trade shows </w:t>
      </w:r>
      <w:r w:rsidDel="00000000" w:rsidR="00000000" w:rsidRPr="00000000">
        <w:rPr>
          <w:rFonts w:ascii="Times New Roman" w:cs="Times New Roman" w:eastAsia="Times New Roman" w:hAnsi="Times New Roman"/>
          <w:b w:val="1"/>
          <w:rtl w:val="0"/>
        </w:rPr>
        <w:t xml:space="preserve">Premium</w:t>
      </w:r>
      <w:r w:rsidDel="00000000" w:rsidR="00000000" w:rsidRPr="00000000">
        <w:rPr>
          <w:rFonts w:ascii="Times New Roman" w:cs="Times New Roman" w:eastAsia="Times New Roman" w:hAnsi="Times New Roman"/>
          <w:rtl w:val="0"/>
        </w:rPr>
        <w:t xml:space="preserve"> e </w:t>
      </w:r>
      <w:r w:rsidDel="00000000" w:rsidR="00000000" w:rsidRPr="00000000">
        <w:rPr>
          <w:rFonts w:ascii="Times New Roman" w:cs="Times New Roman" w:eastAsia="Times New Roman" w:hAnsi="Times New Roman"/>
          <w:b w:val="1"/>
          <w:rtl w:val="0"/>
        </w:rPr>
        <w:t xml:space="preserve">Ispo</w:t>
      </w:r>
      <w:r w:rsidDel="00000000" w:rsidR="00000000" w:rsidRPr="00000000">
        <w:rPr>
          <w:rFonts w:ascii="Times New Roman" w:cs="Times New Roman" w:eastAsia="Times New Roman" w:hAnsi="Times New Roman"/>
          <w:rtl w:val="0"/>
        </w:rPr>
        <w:t xml:space="preserve"> ha sido excelente. La confianza en la marca ha regresado.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Wirth ve grandes oportunidades en las regiones DACH (Germany-Austria-Switzerland), EMEA, EE.UU., Canadá y Asia, especialmente con los Juegos Olímpicos de 2022 en Beijing a la vista. Discusiones al respecto ya están teniendo lugar. La perspectiva de la marca de culto alemana es positiva.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40" w:w="1190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