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BTs 32-36</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LA MARTINA</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COLECCIÓN TROTAMUNDOS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bookmarkStart w:colFirst="0" w:colLast="0" w:name="_l3xbgw881pzt" w:id="0"/>
      <w:bookmarkEnd w:id="0"/>
      <w:r w:rsidDel="00000000" w:rsidR="00000000" w:rsidRPr="00000000">
        <w:rPr>
          <w:rFonts w:ascii="Times New Roman" w:cs="Times New Roman" w:eastAsia="Times New Roman" w:hAnsi="Times New Roman"/>
          <w:rtl w:val="0"/>
        </w:rPr>
        <w:t xml:space="preserve">Fiel a su fuente de inspiración, el jugador de Polo conocido por ser un trotamundos, la colección O/I de </w:t>
      </w:r>
      <w:r w:rsidDel="00000000" w:rsidR="00000000" w:rsidRPr="00000000">
        <w:rPr>
          <w:rFonts w:ascii="Times New Roman" w:cs="Times New Roman" w:eastAsia="Times New Roman" w:hAnsi="Times New Roman"/>
          <w:b w:val="1"/>
          <w:rtl w:val="0"/>
        </w:rPr>
        <w:t xml:space="preserve">La Martina </w:t>
      </w:r>
      <w:r w:rsidDel="00000000" w:rsidR="00000000" w:rsidRPr="00000000">
        <w:rPr>
          <w:rFonts w:ascii="Times New Roman" w:cs="Times New Roman" w:eastAsia="Times New Roman" w:hAnsi="Times New Roman"/>
          <w:rtl w:val="0"/>
        </w:rPr>
        <w:t xml:space="preserve">combina colores brillantes que recuerdan el Holi Festival de la India con un estilo de gentleman inglés. Tweet de textura suave se combina con piel genuina en una oda al hogar de la marca: Argentina. La colección presenta una línea de moda formal, una línea de activewear concebida como una colección de sportswear, y “Polo Player”, la colección principal diseñada para jugadores de polo y guardias. Esta temporada, mientras que la anterior se inspiraba en los uniformes de los soldados del ejército británico, la paleta de color evoca la Union Jack.</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5">
        <w:r w:rsidDel="00000000" w:rsidR="00000000" w:rsidRPr="00000000">
          <w:rPr>
            <w:rFonts w:ascii="Times New Roman" w:cs="Times New Roman" w:eastAsia="Times New Roman" w:hAnsi="Times New Roman"/>
            <w:color w:val="0563c1"/>
            <w:u w:val="single"/>
            <w:rtl w:val="0"/>
          </w:rPr>
          <w:t xml:space="preserve">www.lamartina.com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280" w:before="280" w:lineRule="auto"/>
        <w:contextualSpacing w:val="0"/>
        <w:jc w:val="both"/>
      </w:pPr>
      <w:r w:rsidDel="00000000" w:rsidR="00000000" w:rsidRPr="00000000">
        <w:rPr>
          <w:rFonts w:ascii="Times New Roman" w:cs="Times New Roman" w:eastAsia="Times New Roman" w:hAnsi="Times New Roman"/>
          <w:b w:val="1"/>
          <w:rtl w:val="0"/>
        </w:rPr>
        <w:t xml:space="preserve">LIEBLINGSSTÜCK</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Times New Roman" w:cs="Times New Roman" w:eastAsia="Times New Roman" w:hAnsi="Times New Roman"/>
          <w:rtl w:val="0"/>
        </w:rPr>
        <w:t xml:space="preserve">SECURING MARKET SHARE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Lieblingsstück</w:t>
      </w:r>
      <w:r w:rsidDel="00000000" w:rsidR="00000000" w:rsidRPr="00000000">
        <w:rPr>
          <w:rFonts w:ascii="Times New Roman" w:cs="Times New Roman" w:eastAsia="Times New Roman" w:hAnsi="Times New Roman"/>
          <w:rtl w:val="0"/>
        </w:rPr>
        <w:t xml:space="preserve">, la marca de prendas de punto de alta calidad, ha conseguido ganar y asegurarse su cuota de mercado. Ello se puede atribuir en parte a su estrategia de distribución que se concentra en una cercana cooperación con los minoristas; y en parte a una colección claramente definida y una alianza entre los conceptos individuales de la marca. Además, la marca comparte sus valores con la industria, remarcado por su traslado a sus nuevas oficinas corporativas en una granja de 800 años de antigüedad. En términos tecnológicos y ecológicos este edificio se ajusta a los últimos estándares y combina tradición con una visión de futuro. </w:t>
      </w:r>
    </w:p>
    <w:p w:rsidR="00000000" w:rsidDel="00000000" w:rsidP="00000000" w:rsidRDefault="00000000" w:rsidRPr="00000000">
      <w:pPr>
        <w:spacing w:after="280" w:before="280" w:lineRule="auto"/>
        <w:contextualSpacing w:val="0"/>
        <w:jc w:val="both"/>
      </w:pPr>
      <w:hyperlink r:id="rId6">
        <w:r w:rsidDel="00000000" w:rsidR="00000000" w:rsidRPr="00000000">
          <w:rPr>
            <w:rFonts w:ascii="Times New Roman" w:cs="Times New Roman" w:eastAsia="Times New Roman" w:hAnsi="Times New Roman"/>
            <w:color w:val="0563c1"/>
            <w:u w:val="single"/>
            <w:rtl w:val="0"/>
          </w:rPr>
          <w:t xml:space="preserve">www.lieblingsstueck.com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VERSACE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ESPECIAL CHINA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Para celebrar el inicio del año del Gallo del horóscopo chino, </w:t>
      </w:r>
      <w:r w:rsidDel="00000000" w:rsidR="00000000" w:rsidRPr="00000000">
        <w:rPr>
          <w:rFonts w:ascii="Times New Roman" w:cs="Times New Roman" w:eastAsia="Times New Roman" w:hAnsi="Times New Roman"/>
          <w:b w:val="1"/>
          <w:rtl w:val="0"/>
        </w:rPr>
        <w:t xml:space="preserve">Versace</w:t>
      </w:r>
      <w:r w:rsidDel="00000000" w:rsidR="00000000" w:rsidRPr="00000000">
        <w:rPr>
          <w:rFonts w:ascii="Times New Roman" w:cs="Times New Roman" w:eastAsia="Times New Roman" w:hAnsi="Times New Roman"/>
          <w:rtl w:val="0"/>
        </w:rPr>
        <w:t xml:space="preserve"> ha lanzado una edición especial del bolso “Empire Palace”, el accesorio de lujo con un cierre dorado con el icónico emblema de la Medusa. Esta edición limitada está construida con piel de diferentes colores, incluyendo dorado, rojo y negro. El bolso tiene un detalle extraíble con la inscripción “Versace Chinese New Year Special Edition 2017” en un lado y un amuleto en forma de gallo decorado con cristales Swarovski en el otro.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7">
        <w:r w:rsidDel="00000000" w:rsidR="00000000" w:rsidRPr="00000000">
          <w:rPr>
            <w:rFonts w:ascii="Times New Roman" w:cs="Times New Roman" w:eastAsia="Times New Roman" w:hAnsi="Times New Roman"/>
            <w:color w:val="0563c1"/>
            <w:u w:val="single"/>
            <w:rtl w:val="0"/>
          </w:rPr>
          <w:t xml:space="preserve">www.versace.com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PREMIUM</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NÚMERO RECORD DE VISITANTES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La edición de enero del tradeshow </w:t>
      </w:r>
      <w:r w:rsidDel="00000000" w:rsidR="00000000" w:rsidRPr="00000000">
        <w:rPr>
          <w:rFonts w:ascii="Times New Roman" w:cs="Times New Roman" w:eastAsia="Times New Roman" w:hAnsi="Times New Roman"/>
          <w:b w:val="1"/>
          <w:rtl w:val="0"/>
        </w:rPr>
        <w:t xml:space="preserve">Premium</w:t>
      </w:r>
      <w:r w:rsidDel="00000000" w:rsidR="00000000" w:rsidRPr="00000000">
        <w:rPr>
          <w:rFonts w:ascii="Times New Roman" w:cs="Times New Roman" w:eastAsia="Times New Roman" w:hAnsi="Times New Roman"/>
          <w:rtl w:val="0"/>
        </w:rPr>
        <w:t xml:space="preserve"> tuvo un incremento de un 7% de visitas en comparación con la pasada temporada, y el número más elevado de visitantes jamás registrado durante la segunda jornada. Los invitados internacionales representaron el 69% de las visitas, incluyendo representantes de Francia y Benelux (19%), sur de Europa (21%), países escandinavos (5%), Gran Bretaña e Irlanda (3%). Tras sus recientes adquisiciones, los eventos </w:t>
      </w:r>
      <w:r w:rsidDel="00000000" w:rsidR="00000000" w:rsidRPr="00000000">
        <w:rPr>
          <w:rFonts w:ascii="Times New Roman" w:cs="Times New Roman" w:eastAsia="Times New Roman" w:hAnsi="Times New Roman"/>
          <w:b w:val="1"/>
          <w:rtl w:val="0"/>
        </w:rPr>
        <w:t xml:space="preserve">Premium Group </w:t>
      </w:r>
      <w:r w:rsidDel="00000000" w:rsidR="00000000" w:rsidRPr="00000000">
        <w:rPr>
          <w:rFonts w:ascii="Times New Roman" w:cs="Times New Roman" w:eastAsia="Times New Roman" w:hAnsi="Times New Roman"/>
          <w:rtl w:val="0"/>
        </w:rPr>
        <w:t xml:space="preserve">- Premium, </w:t>
      </w:r>
      <w:r w:rsidDel="00000000" w:rsidR="00000000" w:rsidRPr="00000000">
        <w:rPr>
          <w:rFonts w:ascii="Times New Roman" w:cs="Times New Roman" w:eastAsia="Times New Roman" w:hAnsi="Times New Roman"/>
          <w:b w:val="1"/>
          <w:rtl w:val="0"/>
        </w:rPr>
        <w:t xml:space="preserve">Seek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Bright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b w:val="1"/>
          <w:rtl w:val="0"/>
        </w:rPr>
        <w:t xml:space="preserve">Show&amp;Order</w:t>
      </w:r>
      <w:r w:rsidDel="00000000" w:rsidR="00000000" w:rsidRPr="00000000">
        <w:rPr>
          <w:rFonts w:ascii="Times New Roman" w:cs="Times New Roman" w:eastAsia="Times New Roman" w:hAnsi="Times New Roman"/>
          <w:rtl w:val="0"/>
        </w:rPr>
        <w:t xml:space="preserve"> – actualmente acogen 1.800 marcas sobre una superficie de 51,000m</w:t>
      </w: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y engloban el espectro total de la moda contemporánea.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8">
        <w:r w:rsidDel="00000000" w:rsidR="00000000" w:rsidRPr="00000000">
          <w:rPr>
            <w:rFonts w:ascii="Times New Roman" w:cs="Times New Roman" w:eastAsia="Times New Roman" w:hAnsi="Times New Roman"/>
            <w:color w:val="0563c1"/>
            <w:u w:val="single"/>
            <w:rtl w:val="0"/>
          </w:rPr>
          <w:t xml:space="preserve">www.premiumexhibitions.com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add</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rtl w:val="0"/>
        </w:rPr>
        <w:t xml:space="preserve">COMO LAS NUBES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rtl w:val="0"/>
        </w:rPr>
        <w:t xml:space="preserve">add</w:t>
      </w:r>
      <w:r w:rsidDel="00000000" w:rsidR="00000000" w:rsidRPr="00000000">
        <w:rPr>
          <w:rFonts w:ascii="Times New Roman" w:cs="Times New Roman" w:eastAsia="Times New Roman" w:hAnsi="Times New Roman"/>
          <w:rtl w:val="0"/>
        </w:rPr>
        <w:t xml:space="preserve">, la marca italiana especializada en plumones de lujo, está constantemente refinando su know-how. La marca sólo utiliza plumas de ganso puras y suaves ultra-ligeras (sólo un gramo de plumón está compuesto de 500 copos), tiene una propiedad de aislamiento única y es capaz de ofrecer a las prendas de add su estilo escultural característico. Para O/I 17, add homenajea otra vez la ligereza con la introducción de un nuevo material, “Peach Light Puffy”, que permite que las prendas sean “tan suaves como las nubes”, tal y como lo expresa la marca.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9">
        <w:r w:rsidDel="00000000" w:rsidR="00000000" w:rsidRPr="00000000">
          <w:rPr>
            <w:rFonts w:ascii="Times New Roman" w:cs="Times New Roman" w:eastAsia="Times New Roman" w:hAnsi="Times New Roman"/>
            <w:color w:val="0563c1"/>
            <w:u w:val="single"/>
            <w:rtl w:val="0"/>
          </w:rPr>
          <w:t xml:space="preserve">www.addown.it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jc w:val="both"/>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addown.it" TargetMode="External"/><Relationship Id="rId5" Type="http://schemas.openxmlformats.org/officeDocument/2006/relationships/hyperlink" Target="http://www.lamartina.com" TargetMode="External"/><Relationship Id="rId6" Type="http://schemas.openxmlformats.org/officeDocument/2006/relationships/hyperlink" Target="http://www.lieblingsstueck.com" TargetMode="External"/><Relationship Id="rId7" Type="http://schemas.openxmlformats.org/officeDocument/2006/relationships/hyperlink" Target="http://www.versace.com" TargetMode="External"/><Relationship Id="rId8" Type="http://schemas.openxmlformats.org/officeDocument/2006/relationships/hyperlink" Target="http://www.premiumexhibitions.com" TargetMode="External"/></Relationships>
</file>