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PROFILE</w:t>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DENHAM: EL IMPARABLE PRODUCTOR DE JEANS</w:t>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Fundada en 2008, la marca de Ámsterdam </w:t>
      </w:r>
      <w:r w:rsidDel="00000000" w:rsidR="00000000" w:rsidRPr="00000000">
        <w:rPr>
          <w:rFonts w:ascii="Times New Roman" w:cs="Times New Roman" w:eastAsia="Times New Roman" w:hAnsi="Times New Roman"/>
          <w:b w:val="1"/>
          <w:rtl w:val="0"/>
        </w:rPr>
        <w:t xml:space="preserve">Denham</w:t>
      </w:r>
      <w:r w:rsidDel="00000000" w:rsidR="00000000" w:rsidRPr="00000000">
        <w:rPr>
          <w:rFonts w:ascii="Times New Roman" w:cs="Times New Roman" w:eastAsia="Times New Roman" w:hAnsi="Times New Roman"/>
          <w:rtl w:val="0"/>
        </w:rPr>
        <w:t xml:space="preserve"> nunca ha parado de crecer. Sus colecciones son el resultado de una extensiva investigación vintage arraigada en el amor por auténticos jeans. En menos de 10 años, Denham ha desarrollado una presencia global a través de su propia red minorista además de trabajar con socios mayoristas y aventurarse en numerosas categorías de producto, incluyendo prendas de punto, jerséis y moda infantil. Pero este año su ritmo ha sido vertiginoso: acaba de abrir flagship stores tanto en Tokio como en Shanghái y está preparando el lanzamiento de una nueva línea premium.</w:t>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tienda de Shanghái en el centro comercial de reciente apertura </w:t>
      </w:r>
      <w:r w:rsidDel="00000000" w:rsidR="00000000" w:rsidRPr="00000000">
        <w:rPr>
          <w:rFonts w:ascii="Times New Roman" w:cs="Times New Roman" w:eastAsia="Times New Roman" w:hAnsi="Times New Roman"/>
          <w:b w:val="1"/>
          <w:sz w:val="22"/>
          <w:szCs w:val="22"/>
          <w:rtl w:val="0"/>
        </w:rPr>
        <w:t xml:space="preserve">HKRI Taikoo Hui</w:t>
      </w:r>
      <w:r w:rsidDel="00000000" w:rsidR="00000000" w:rsidRPr="00000000">
        <w:rPr>
          <w:rFonts w:ascii="Times New Roman" w:cs="Times New Roman" w:eastAsia="Times New Roman" w:hAnsi="Times New Roman"/>
          <w:sz w:val="22"/>
          <w:szCs w:val="22"/>
          <w:rtl w:val="0"/>
        </w:rPr>
        <w:t xml:space="preserve"> es la primera de un amplio despliegue en toda China. “Éste es un increíble hito para nuestra marca”, explicó Jason Denham, Chief Creative Officer y fundador, añadiendo que estaba “muy ilusionado de entrar en el mercado y liberar el gran potencial de crecimiento” allí.</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tienda de Tokio está ubicada en Ginza y simboliza la pasión de la marca por la producción de jeans. “Tokio es una de las ciudades más inspiradoras del mundo y Ginza es un barrio vibrante e increíble”, remarca Denham. “Nuestra nueva flagship store global en Ginza Six está cargado de nuestro NDA (...) Primero introducimos los mejores servicios de cosido y lavado, y actualmente hemos dado un paso adelante con un nuevo servicio de secado: es como un teatro para nuestros consumidores”. </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en noviembre Denham lanzará una línea premium llamada </w:t>
      </w:r>
      <w:r w:rsidDel="00000000" w:rsidR="00000000" w:rsidRPr="00000000">
        <w:rPr>
          <w:rFonts w:ascii="Times New Roman" w:cs="Times New Roman" w:eastAsia="Times New Roman" w:hAnsi="Times New Roman"/>
          <w:b w:val="1"/>
          <w:sz w:val="22"/>
          <w:szCs w:val="22"/>
          <w:rtl w:val="0"/>
        </w:rPr>
        <w:t xml:space="preserve">Jason Denham</w:t>
      </w:r>
      <w:r w:rsidDel="00000000" w:rsidR="00000000" w:rsidRPr="00000000">
        <w:rPr>
          <w:rFonts w:ascii="Times New Roman" w:cs="Times New Roman" w:eastAsia="Times New Roman" w:hAnsi="Times New Roman"/>
          <w:sz w:val="22"/>
          <w:szCs w:val="22"/>
          <w:rtl w:val="0"/>
        </w:rPr>
        <w:t xml:space="preserve">. Próximos detalles en la próxima edición de WeAr - ¡permaneced en sintonía!</w:t>
      </w: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www.denhamthejeanmaker.com</w:t>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Times New Roman" w:cs="Times New Roman" w:eastAsia="Times New Roman" w:hAnsi="Times New Roman"/>
          <w:b w:val="0"/>
          <w:i w:val="1"/>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