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fashion after Fashion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Nia Groce</w:t>
      </w:r>
    </w:p>
    <w:p w:rsidR="00000000" w:rsidDel="00000000" w:rsidP="00000000" w:rsidRDefault="00000000" w:rsidRPr="00000000">
      <w:pPr>
        <w:pBdr/>
        <w:contextualSpacing w:val="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rtl w:val="0"/>
        </w:rPr>
        <w:t xml:space="preserve">El</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b w:val="1"/>
          <w:color w:val="000000"/>
          <w:vertAlign w:val="baseline"/>
          <w:rtl w:val="0"/>
        </w:rPr>
        <w:t xml:space="preserve">Museum of Arts and Design (MAD)</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rtl w:val="0"/>
        </w:rPr>
        <w:t xml:space="preserve">en</w:t>
      </w:r>
      <w:r w:rsidDel="00000000" w:rsidR="00000000" w:rsidRPr="00000000">
        <w:rPr>
          <w:rFonts w:ascii="Times New Roman" w:cs="Times New Roman" w:eastAsia="Times New Roman" w:hAnsi="Times New Roman"/>
          <w:color w:val="000000"/>
          <w:vertAlign w:val="baseline"/>
          <w:rtl w:val="0"/>
        </w:rPr>
        <w:t xml:space="preserve"> N</w:t>
      </w:r>
      <w:r w:rsidDel="00000000" w:rsidR="00000000" w:rsidRPr="00000000">
        <w:rPr>
          <w:rFonts w:ascii="Times New Roman" w:cs="Times New Roman" w:eastAsia="Times New Roman" w:hAnsi="Times New Roman"/>
          <w:rtl w:val="0"/>
        </w:rPr>
        <w:t xml:space="preserve">ueva</w:t>
      </w:r>
      <w:r w:rsidDel="00000000" w:rsidR="00000000" w:rsidRPr="00000000">
        <w:rPr>
          <w:rFonts w:ascii="Times New Roman" w:cs="Times New Roman" w:eastAsia="Times New Roman" w:hAnsi="Times New Roman"/>
          <w:color w:val="000000"/>
          <w:vertAlign w:val="baseline"/>
          <w:rtl w:val="0"/>
        </w:rPr>
        <w:t xml:space="preserve"> York, en colaboración co</w:t>
      </w:r>
      <w:r w:rsidDel="00000000" w:rsidR="00000000" w:rsidRPr="00000000">
        <w:rPr>
          <w:rFonts w:ascii="Times New Roman" w:cs="Times New Roman" w:eastAsia="Times New Roman" w:hAnsi="Times New Roman"/>
          <w:rtl w:val="0"/>
        </w:rPr>
        <w:t xml:space="preserve">n </w:t>
      </w:r>
      <w:r w:rsidDel="00000000" w:rsidR="00000000" w:rsidRPr="00000000">
        <w:rPr>
          <w:rFonts w:ascii="Times New Roman" w:cs="Times New Roman" w:eastAsia="Times New Roman" w:hAnsi="Times New Roman"/>
          <w:b w:val="1"/>
          <w:rtl w:val="0"/>
        </w:rPr>
        <w:t xml:space="preserve">Finnish Cultural Institute</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Parsons School of Design </w:t>
      </w:r>
      <w:r w:rsidDel="00000000" w:rsidR="00000000" w:rsidRPr="00000000">
        <w:rPr>
          <w:rFonts w:ascii="Times New Roman" w:cs="Times New Roman" w:eastAsia="Times New Roman" w:hAnsi="Times New Roman"/>
          <w:rtl w:val="0"/>
        </w:rPr>
        <w:t xml:space="preserve">también de Nueva York, ha inaugurado </w:t>
      </w:r>
      <w:r w:rsidDel="00000000" w:rsidR="00000000" w:rsidRPr="00000000">
        <w:rPr>
          <w:rFonts w:ascii="Times New Roman" w:cs="Times New Roman" w:eastAsia="Times New Roman" w:hAnsi="Times New Roman"/>
          <w:b w:val="1"/>
          <w:rtl w:val="0"/>
        </w:rPr>
        <w:t xml:space="preserve">fashion after Fashion</w:t>
      </w:r>
      <w:r w:rsidDel="00000000" w:rsidR="00000000" w:rsidRPr="00000000">
        <w:rPr>
          <w:rFonts w:ascii="Times New Roman" w:cs="Times New Roman" w:eastAsia="Times New Roman" w:hAnsi="Times New Roman"/>
          <w:rtl w:val="0"/>
        </w:rPr>
        <w:t xml:space="preserve">, una exposición que explora la ideología “post-moda”. Seis equipos de diseñadores examinan la moda de manera independiente y colectivamente desde el punto de vista del diseño y del arte, buscando la diversificación del término “Fashion” (con “F” mayúscula). Las obras presentadas en la exposición cuestionan el gran potencial de la moda tanto para diseñadores como consumidores a través de temas como el mito del diseñador individual estrella, productos de corta vida y vestimentas según género, cuerpos ideales y desperdicios.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diseñadores participantes en la exposición representan una serie de generaciones además de sectores de la moda, desde alta costura hasta conceptual. </w:t>
      </w:r>
      <w:r w:rsidDel="00000000" w:rsidR="00000000" w:rsidRPr="00000000">
        <w:rPr>
          <w:rFonts w:ascii="Times New Roman" w:cs="Times New Roman" w:eastAsia="Times New Roman" w:hAnsi="Times New Roman"/>
          <w:b w:val="1"/>
          <w:rtl w:val="0"/>
        </w:rPr>
        <w:t xml:space="preserve">Eckhaus Latta</w:t>
      </w:r>
      <w:r w:rsidDel="00000000" w:rsidR="00000000" w:rsidRPr="00000000">
        <w:rPr>
          <w:rFonts w:ascii="Times New Roman" w:cs="Times New Roman" w:eastAsia="Times New Roman" w:hAnsi="Times New Roman"/>
          <w:rtl w:val="0"/>
        </w:rPr>
        <w:t xml:space="preserve">, una pareja de diseñadores de Nueva York que influencia la cultura de la moda underground, lo hace inspirándose en gente real, espacios y cosas de la ciudad, más allá de su credo de ciudad de la moda. También se encuentra a </w:t>
      </w:r>
      <w:r w:rsidDel="00000000" w:rsidR="00000000" w:rsidRPr="00000000">
        <w:rPr>
          <w:rFonts w:ascii="Times New Roman" w:cs="Times New Roman" w:eastAsia="Times New Roman" w:hAnsi="Times New Roman"/>
          <w:b w:val="1"/>
          <w:rtl w:val="0"/>
        </w:rPr>
        <w:t xml:space="preserve">Henrik Vibskov</w:t>
      </w:r>
      <w:r w:rsidDel="00000000" w:rsidR="00000000" w:rsidRPr="00000000">
        <w:rPr>
          <w:rFonts w:ascii="Times New Roman" w:cs="Times New Roman" w:eastAsia="Times New Roman" w:hAnsi="Times New Roman"/>
          <w:rtl w:val="0"/>
        </w:rPr>
        <w:t xml:space="preserve">, el diseñador escandinavo cuyas prendas enfatizan las relaciones entre el cuerpo y el movimiento y cuyas pasarelas reinventan reinos complejos. </w:t>
      </w:r>
      <w:r w:rsidDel="00000000" w:rsidR="00000000" w:rsidRPr="00000000">
        <w:rPr>
          <w:rFonts w:ascii="Times New Roman" w:cs="Times New Roman" w:eastAsia="Times New Roman" w:hAnsi="Times New Roman"/>
          <w:b w:val="1"/>
          <w:rtl w:val="0"/>
        </w:rPr>
        <w:t xml:space="preserve">Lucy Jones </w:t>
      </w:r>
      <w:r w:rsidDel="00000000" w:rsidR="00000000" w:rsidRPr="00000000">
        <w:rPr>
          <w:rFonts w:ascii="Times New Roman" w:cs="Times New Roman" w:eastAsia="Times New Roman" w:hAnsi="Times New Roman"/>
          <w:rtl w:val="0"/>
        </w:rPr>
        <w:t xml:space="preserve">refleja la inclusividad con diseños para tipologías de cuerpos típicamente rechazados en general por la industria de la moda con su “Seated Collection” para personas inválidas. Para acabar con la exposición </w:t>
      </w:r>
      <w:r w:rsidDel="00000000" w:rsidR="00000000" w:rsidRPr="00000000">
        <w:rPr>
          <w:rFonts w:ascii="Times New Roman" w:cs="Times New Roman" w:eastAsia="Times New Roman" w:hAnsi="Times New Roman"/>
          <w:b w:val="1"/>
          <w:rtl w:val="0"/>
        </w:rPr>
        <w:t xml:space="preserve">Ryohei Kawanishi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SSAW</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ensæmble</w:t>
      </w:r>
      <w:r w:rsidDel="00000000" w:rsidR="00000000" w:rsidRPr="00000000">
        <w:rPr>
          <w:rFonts w:ascii="Times New Roman" w:cs="Times New Roman" w:eastAsia="Times New Roman" w:hAnsi="Times New Roman"/>
          <w:rtl w:val="0"/>
        </w:rPr>
        <w:t xml:space="preserve"> presentan nuevas perspectivas de moda contemporánea.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Comisionada por Hazel Clark e Ilari Laamanen, fashion after Fashion forma parte de la serie de MAD que lleva por nombre The Art and Craft of Getting Dressed, con tres exposiciones que exploran las prácticas de la moda a través de la cultura y del pensamiento crítico.</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fashion after Fashion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rtl w:val="0"/>
        </w:rPr>
        <w:t xml:space="preserve">27 abril - 7 agosto, 2017</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Museum of Arts and Design, New York</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www.madmuseum.org</w:t>
      </w:r>
      <w:r w:rsidDel="00000000" w:rsidR="00000000" w:rsidRPr="00000000">
        <w:rPr>
          <w:rtl w:val="0"/>
        </w:rPr>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