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VURAL ILTAR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DIRECTOR EJECUTIVO</w:t>
      </w:r>
      <w:r w:rsidDel="00000000" w:rsidR="00000000" w:rsidRPr="00000000">
        <w:rPr>
          <w:rFonts w:ascii="Times New Roman" w:cs="Times New Roman" w:eastAsia="Times New Roman" w:hAnsi="Times New Roman"/>
          <w:b w:val="1"/>
          <w:color w:val="000000"/>
          <w:rtl w:val="0"/>
        </w:rPr>
        <w:t xml:space="preserve">, MONTGOMERY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u7k64uid6dhm" w:id="0"/>
      <w:bookmarkEnd w:id="0"/>
      <w:r w:rsidDel="00000000" w:rsidR="00000000" w:rsidRPr="00000000">
        <w:rPr>
          <w:rFonts w:ascii="Times New Roman" w:cs="Times New Roman" w:eastAsia="Times New Roman" w:hAnsi="Times New Roman"/>
          <w:rtl w:val="0"/>
        </w:rPr>
        <w:t xml:space="preserve">Berlín cuenta con muchos eventos de moda, lo que convierte a esta ciudad en la capital de la moda. Copenhague tiene un enfoque muy vanguardista que puede incluso apreciarse en tiendas convencionales, y las marcas de moda locales crean prendas destacablemente populares en otras ciudades. Tokio es una de las ciudades más excéntricas del mundo en términos de estilo. De alguna manera existe una rebelión en contra de la cultura normalizada de la vestimenta conservadora y una gran cantidad de diseñadores artísticamente desinhibidos</w:t>
      </w:r>
    </w:p>
    <w:p w:rsidR="00000000" w:rsidDel="00000000" w:rsidP="00000000" w:rsidRDefault="00000000" w:rsidRPr="00000000">
      <w:pPr>
        <w:pBdr/>
        <w:contextualSpacing w:val="0"/>
        <w:rPr>
          <w:rFonts w:ascii="Times New Roman" w:cs="Times New Roman" w:eastAsia="Times New Roman" w:hAnsi="Times New Roman"/>
          <w:color w:val="000000"/>
        </w:rPr>
      </w:pPr>
      <w:bookmarkStart w:colFirst="0" w:colLast="0" w:name="_gjdgxs" w:id="1"/>
      <w:bookmarkEnd w:id="1"/>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DANIEL GRIEDER, CEO, TOMMY HILFIGER GLOBAL Y PVH EUROPE</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Nuestra innovadora plataforma TOMMYNOW está empujando la experiencia “See now, Buy now”, y el momento y compromiso globales con consumidores desde América y Europa hasta Asia Pacífico nos ha inspirado a explorar diferentes ubicaciones para eventos. Continuaremos trayendo a la vida el concepto en nuevas ciudades y para nuevos consumidores de todo el mundo en el futuro. </w:t>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