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ANDREA CANÉ, WOOLRICH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Shamin Vogel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Woolrich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es una de las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compañías más icónicas en el segmento de outerwear y una de las que entiende la industria especialmente bien.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WeAr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ha entrevistado a Andrea Cané, Director Creativo Global en Woolrich International, para descubrir más sobre el futuro de la compañía y sus opiniones sobre el retail.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Señor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 Cané,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¿dónde veis el desarrollo de Woolrich John Rich &amp; Bros en 5 años?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Vemos a Woolrich JR&amp;B liderando lo que llamo el segmento de outerwear “contemporáneo auténtico”. JR&amp;B es nuestra línea premium, centrada en la creación de parkas de nueva generación. La actualización de nuestras prendas icónicas es parte de nuestra longevidad en el negocio: ¡hemos estado en él casi 200 años!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¿Qué ha cambiado desde la fusión con Woolrich International y qué cambios podemos esperar en el futuro?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Tras la fusión nos hemos centrado en dos segmento: JR&amp;B cubrirá el lado con enfoque más urbano, y una nueva marca será creada para cubrir el segmento outdoor. La marca es muy conocida en la industria outdoor, y necesitamos reforzar nuestra presencia en este segmento de posicionamiento premium, mientras establecemos un posicionamiento más urbano para JR&amp;B.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¿Cuáles son vuestros últimos proyectos minoristas? Cuéntanos más sobre vuestro concept store en Milán.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Abriremos 4 nuevas tiendas (Dusseldorf, Frankfurt, Toronto y Milán). Esta especial atención en retail está empujando la compañía a cambiar el modelo de negocio, ofreciendo muchas más entregas, más específicas, y una personalización del retail. En relación a la tienda de Milán, estamos trabajando para construir una nueva experiencia de compras. Esta tienda representará un viaje desde “Urban” hasta “Outdoor”. La organización estará finalizada para O/I 18 con el lanzamiento de una nueva colección outdoor. Nos gusta la idea de un “cambio en el sector minorista”.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¿Dónde esperáis un mayor crecimiento para Woolrich - en términos de producto, pero también geográficamente?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Principalmente en outwerwear. También estamos entrando en el mercado del calzado y expandiendo nuestros accesorios y e-commerce. En términos geográficos, contamos con 3 regiones principales con diferentes prioridades: en Europa, desarrollaremos el mercado de Gran Bretaña y Francia. En Norte América, necesitamos hacernos de nuevo con nuestra posición relevante ya que somos una marca americana. En Asia, estamos consolidando Japón y empezando con Corea, antes de entrar en China.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Habéis anunciado una colaboración con Cordura, ¿tenéis planes de alguna colaboración adicional?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colaboración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Cordura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 parte de nuestra estrategia de trabajar con productores únicos que nos den la suficiente credibilidad necesaria para nuestra innovación en producto. También colaboramos con otros proveedores líderes de materiales y componentes,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Vibram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calzado. En relación a la industria, en nuestras instalaciones de Pensilvania estamos elaborando  mantas para las marcas de streetwear más importantes; serán lanzadas en O/I 17 y O/I 18. También estamos trabajando en una colaboración con una marca de sneakers que será lanzada en octubre. Y para O/I 18, actualmente estamos confirmando un par de proyectos con nuevos diseñadores con mucho talento. Permaneced en sintonía...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