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FRANCO MARIANELLI, CEO, RIFLE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La tecnología afectará la industria de la moda todavía más. El marketing digital mejorará las relaciones de las marcas con sus clientes. Se podrá coleccionar conocimiento de las redes sociales: necesidades de los clientes, comportamientos de compra, preferencias y preocupaciones deberán ser descodificados para que se conviertan en activos para la estrategia de la marca. Actualmente no sólo los millennials son expertos digitales: incluso gente de avanzada edad compran online. Sin embargo, la integración omnichannel no significa que no tengamos que prestar atención a la gestión de las relaciones con los clientes y a la experiencia en tienda: necesitamos continuar ofreciendo algo tangible. Necesitamos ofrecer un producto que incorpore equidad de marca, pericia y autenticidad para dar al cliente un motivo real para creer en nosotros.</w:t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KEVIN CHEN, CEO/CHIEF CREATIVE, FRANKIE</w:t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Creo que volviendo la vista atrás a la artesanía y a las técnicas tradicionales del desarrollo textil serán clave en el futuro inmediato. No sólo permitirá desarrollar y fortalecer comunidades y crear una economía más dinámica en países emergentes, también recordará a la gente el valor del trabajo artesanal. Con la fast fashion, los materiales y el trabajo no se tienen en consideración, y la gente no entiende el trabajo detrás de la creación de textiles únicos y prendas bien construidas. Con el crecimiento de las nuevas tecnologías, estoy también convencido que la industria de la moda fusionará recursos con compañías tecnológicas para desarrollar materiales y procesos ecológicos a mayor escala. La sostenibilidad debe tomarse en consideración en el futuro de la moda, para hacer que el negocio sea menos nocivo para el planeta.</w:t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DANIEL GRIEDER, CEO, TOMMY HILFIGER</w:t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/>
      </w:pPr>
      <w:bookmarkStart w:colFirst="0" w:colLast="0" w:name="_pkmzgxwu7jr9" w:id="0"/>
      <w:bookmarkEnd w:id="0"/>
      <w:r w:rsidDel="00000000" w:rsidR="00000000" w:rsidRPr="00000000">
        <w:rPr>
          <w:rtl w:val="0"/>
        </w:rPr>
        <w:t xml:space="preserve">Con los cambios en retail, la rentabilidad de las inversiones ya no pueden medirse a través de ventas por metro cuadrado. Consiste en la sorpresa, excitación y novedad por metro cuadrado lo que incrementa la relevancia de la marca y atrae a nuevos consumidores. Las tiendas físicas no desaparecerán, pero necesitamos combinar el retail tradicional, donde los consumidores pueden probarse y tocar el producto, con innovaciones digitales y sociales que abren nuevas oportunidades. Nuestra propia estrategia de innovación se centra en la transformación de la cadena de valor a través de la inversión en diseño de producto 3D, compromisos de sostenibilidad, y capacidades de venta digitales. Estamos invirtiendo en tecnologías que elevan nuestras colecciones, añaden rapidez a nuestros procesos y ponen al consumidor en el centro de todo lo que hacemos.</w:t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240" w:lineRule="auto"/>
        <w:contextualSpacing w:val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Rule="auto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