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Clienteling 2.0: Digitalizando las Relaciones con los Consumidores</w:t>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Bennett Faber</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LOS CAMBIANTES HÁBITOS DE COMPRA Y LA CRECIENTE COMPETENCIA DE LAS PLATAFORMAS ONLINE, LOS MINORISTAS FÍSICOS ESTÁN EQUIPANDO A SU PERSONAL DE VENTA CON NUEVAS TECNOLOGÍAS PARA OPTIMIZAR SU RELACIÓN CON EL CLIENTE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dos hechos minoristas: el consumidor actual compra 24 horas al día, a pesar de que las tiendas físicas solo estén abiertas durante el día; muchos clientes responden mejor a vendedores con los que tienen una relación. ¿Cómo podemos reconciliar estas dos realidades - y cómo puede la conexión de un vendedor extenderse más allá de la superficie de venta? La respuesta es formas digitales de “Clienteling”, la técnica usada por los trabajadores minoristas para vincularse a sus clientes. Las nuevas tecnologías permite a los vendedores a realizar una venta incluso si el vendedor no está delante de ellos. </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 vendedores pueden actualmente generar ventas online tanto como lo hacen en la tienda”, comenta Oscar Sachs, co-fundador y CEO de </w:t>
      </w:r>
      <w:r w:rsidDel="00000000" w:rsidR="00000000" w:rsidRPr="00000000">
        <w:rPr>
          <w:rFonts w:ascii="Times New Roman" w:cs="Times New Roman" w:eastAsia="Times New Roman" w:hAnsi="Times New Roman"/>
          <w:b w:val="1"/>
          <w:sz w:val="24"/>
          <w:szCs w:val="24"/>
          <w:rtl w:val="0"/>
        </w:rPr>
        <w:t xml:space="preserve">Salesfloor, </w:t>
      </w:r>
      <w:r w:rsidDel="00000000" w:rsidR="00000000" w:rsidRPr="00000000">
        <w:rPr>
          <w:rFonts w:ascii="Times New Roman" w:cs="Times New Roman" w:eastAsia="Times New Roman" w:hAnsi="Times New Roman"/>
          <w:sz w:val="24"/>
          <w:szCs w:val="24"/>
          <w:rtl w:val="0"/>
        </w:rPr>
        <w:t xml:space="preserve">una plataforma SaaS (software as a service) que permite a los consumidores conectar desde sus ordenadores y móviles con vendedores de sus tiendas más cercanas. Los vendedores pueden crear versiones personalizadas del website principal del minorista, recopilar lookbooks, recomendar producto e implementar campañas de marketing locales. Salesfloor también consolida los datos de compra de los consumidores y sus preferencias, ofreciendo información a los vendedores para facilitar su seguimiento. Los vendedores también pueden hacer seguimiento de KPIs, como el ratio de apertura de emails y el ratio de clicks, a través de la app Salesfloor, permitiéndoles medir su propia actividad de manera más efectiva.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los pasados dos años, Salesfloor se ha asociado con </w:t>
      </w:r>
      <w:r w:rsidDel="00000000" w:rsidR="00000000" w:rsidRPr="00000000">
        <w:rPr>
          <w:rFonts w:ascii="Times New Roman" w:cs="Times New Roman" w:eastAsia="Times New Roman" w:hAnsi="Times New Roman"/>
          <w:b w:val="1"/>
          <w:sz w:val="24"/>
          <w:szCs w:val="24"/>
          <w:rtl w:val="0"/>
        </w:rPr>
        <w:t xml:space="preserve">Saks Fifth Avenue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Bloomingdales</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b w:val="1"/>
          <w:sz w:val="24"/>
          <w:szCs w:val="24"/>
          <w:rtl w:val="0"/>
        </w:rPr>
        <w:t xml:space="preserve">Lord &amp; Taylor</w:t>
      </w:r>
      <w:r w:rsidDel="00000000" w:rsidR="00000000" w:rsidRPr="00000000">
        <w:rPr>
          <w:rFonts w:ascii="Times New Roman" w:cs="Times New Roman" w:eastAsia="Times New Roman" w:hAnsi="Times New Roman"/>
          <w:sz w:val="24"/>
          <w:szCs w:val="24"/>
          <w:rtl w:val="0"/>
        </w:rPr>
        <w:t xml:space="preserve">. La compañía declara haber incrementado sus ventas online en un 50% promedio con una reducción de las devoluciones de un 40%.</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Digitalizando el proceso de captación de clientes permite a los minoristas movilizar su punto fuerte principal - sus vendedores - para ofrecer relaciones omnichannel con los clientes. La boutique de moda de lujo en Nueva York </w:t>
      </w:r>
      <w:r w:rsidDel="00000000" w:rsidR="00000000" w:rsidRPr="00000000">
        <w:rPr>
          <w:rFonts w:ascii="Times New Roman" w:cs="Times New Roman" w:eastAsia="Times New Roman" w:hAnsi="Times New Roman"/>
          <w:b w:val="1"/>
          <w:sz w:val="24"/>
          <w:szCs w:val="24"/>
          <w:rtl w:val="0"/>
        </w:rPr>
        <w:t xml:space="preserve">Fivestory</w:t>
      </w:r>
      <w:r w:rsidDel="00000000" w:rsidR="00000000" w:rsidRPr="00000000">
        <w:rPr>
          <w:rFonts w:ascii="Times New Roman" w:cs="Times New Roman" w:eastAsia="Times New Roman" w:hAnsi="Times New Roman"/>
          <w:sz w:val="24"/>
          <w:szCs w:val="24"/>
          <w:rtl w:val="0"/>
        </w:rPr>
        <w:t xml:space="preserve"> ha expandido su equipo de ventas y ha invertido en el software de Oracle </w:t>
      </w:r>
      <w:r w:rsidDel="00000000" w:rsidR="00000000" w:rsidRPr="00000000">
        <w:rPr>
          <w:rFonts w:ascii="Times New Roman" w:cs="Times New Roman" w:eastAsia="Times New Roman" w:hAnsi="Times New Roman"/>
          <w:b w:val="1"/>
          <w:sz w:val="24"/>
          <w:szCs w:val="24"/>
          <w:rtl w:val="0"/>
        </w:rPr>
        <w:t xml:space="preserve">Netsuite </w:t>
      </w:r>
      <w:r w:rsidDel="00000000" w:rsidR="00000000" w:rsidRPr="00000000">
        <w:rPr>
          <w:rFonts w:ascii="Times New Roman" w:cs="Times New Roman" w:eastAsia="Times New Roman" w:hAnsi="Times New Roman"/>
          <w:sz w:val="24"/>
          <w:szCs w:val="24"/>
          <w:rtl w:val="0"/>
        </w:rPr>
        <w:t xml:space="preserve">para monitorizar las comunicaciones online del cliente con sus asesores de estilo. Mientras tanto, multimarcas como </w:t>
      </w:r>
      <w:r w:rsidDel="00000000" w:rsidR="00000000" w:rsidRPr="00000000">
        <w:rPr>
          <w:rFonts w:ascii="Times New Roman" w:cs="Times New Roman" w:eastAsia="Times New Roman" w:hAnsi="Times New Roman"/>
          <w:b w:val="1"/>
          <w:sz w:val="24"/>
          <w:szCs w:val="24"/>
          <w:rtl w:val="0"/>
        </w:rPr>
        <w:t xml:space="preserve">The Webster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b w:val="1"/>
          <w:sz w:val="24"/>
          <w:szCs w:val="24"/>
          <w:rtl w:val="0"/>
        </w:rPr>
        <w:t xml:space="preserve">Hirshleifers</w:t>
      </w:r>
      <w:r w:rsidDel="00000000" w:rsidR="00000000" w:rsidRPr="00000000">
        <w:rPr>
          <w:rFonts w:ascii="Times New Roman" w:cs="Times New Roman" w:eastAsia="Times New Roman" w:hAnsi="Times New Roman"/>
          <w:sz w:val="24"/>
          <w:szCs w:val="24"/>
          <w:rtl w:val="0"/>
        </w:rPr>
        <w:t xml:space="preserve"> se han asociado con la app de personal shopping </w:t>
      </w:r>
      <w:r w:rsidDel="00000000" w:rsidR="00000000" w:rsidRPr="00000000">
        <w:rPr>
          <w:rFonts w:ascii="Times New Roman" w:cs="Times New Roman" w:eastAsia="Times New Roman" w:hAnsi="Times New Roman"/>
          <w:b w:val="1"/>
          <w:sz w:val="24"/>
          <w:szCs w:val="24"/>
          <w:rtl w:val="0"/>
        </w:rPr>
        <w:t xml:space="preserve">PS Dept, </w:t>
      </w:r>
      <w:r w:rsidDel="00000000" w:rsidR="00000000" w:rsidRPr="00000000">
        <w:rPr>
          <w:rFonts w:ascii="Times New Roman" w:cs="Times New Roman" w:eastAsia="Times New Roman" w:hAnsi="Times New Roman"/>
          <w:sz w:val="24"/>
          <w:szCs w:val="24"/>
          <w:rtl w:val="0"/>
        </w:rPr>
        <w:t xml:space="preserve">permitiendo a los potenciales clientes realizar preguntas a sus vendedores.</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una oferta más amplia que nunca, los clientes necesitan cada vez más ayuda para tomar decisiones. Tras investigaciones de Salesforce descubrieron que un 87% de los consumidores tenían una mayor probabilidad de comprar artículos recomendados por vendedores, y que un 77% tenían una probabilidad de comprar de un vendedor que ya les había ayudado anteriormente. A medida que el marketing influencer gana más seguidores en entre otras marcas, las plataformas de relaciones entre clientes permite a los minoristas apoyarse en sus vendedores para construir relaciones de estilo influencer con los clientes en busca de opiniones de confianza.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0000ff"/>
            <w:sz w:val="24"/>
            <w:szCs w:val="24"/>
            <w:u w:val="single"/>
            <w:rtl w:val="0"/>
          </w:rPr>
          <w:t xml:space="preserve">www.salesfloor.net</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hyperlink r:id="rId7">
        <w:r w:rsidDel="00000000" w:rsidR="00000000" w:rsidRPr="00000000">
          <w:rPr>
            <w:rFonts w:ascii="Times New Roman" w:cs="Times New Roman" w:eastAsia="Times New Roman" w:hAnsi="Times New Roman"/>
            <w:color w:val="0000ff"/>
            <w:sz w:val="24"/>
            <w:szCs w:val="24"/>
            <w:u w:val="single"/>
            <w:rtl w:val="0"/>
          </w:rPr>
          <w:t xml:space="preserve">www.netsuite.com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8">
        <w:r w:rsidDel="00000000" w:rsidR="00000000" w:rsidRPr="00000000">
          <w:rPr>
            <w:rFonts w:ascii="Times New Roman" w:cs="Times New Roman" w:eastAsia="Times New Roman" w:hAnsi="Times New Roman"/>
            <w:color w:val="0000ff"/>
            <w:sz w:val="24"/>
            <w:szCs w:val="24"/>
            <w:u w:val="single"/>
            <w:rtl w:val="0"/>
          </w:rPr>
          <w:t xml:space="preserve">www.psdept.com</w:t>
        </w:r>
      </w:hyperlink>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hyperlink" Target="http://www.salesfloor.net" TargetMode="External"/><Relationship Id="rId7" Type="http://schemas.openxmlformats.org/officeDocument/2006/relationships/hyperlink" Target="http://www.netsuite.com" TargetMode="External"/><Relationship Id="rId8" Type="http://schemas.openxmlformats.org/officeDocument/2006/relationships/hyperlink" Target="http://www.psde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