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Renee Henze, Global Marketing Director, DuPont Biomaterials</w:t>
      </w:r>
    </w:p>
    <w:p w:rsidR="00000000" w:rsidDel="00000000" w:rsidP="00000000" w:rsidRDefault="00000000" w:rsidRPr="00000000" w14:paraId="00000001">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conseguir un futuro más sostenible, la industria de la moda necesita enfocarse de manera colectiva hacia la producción de alta calidad, prendas de larga duración diseñados para durar. El primer paso crítico es este proceso es la inversión en fibras y materiales de alto rendimiento, e integrando esa tecnología en sus productos. Con la venta de artículos de apparel que ofrecen un exceso de atributos para los consumidores, tanto marcas como minoristas pueden mantener un enfoque competitivo e incluso mejor, minimizando el desperdicio textil en la industria.</w:t>
      </w:r>
    </w:p>
    <w:p w:rsidR="00000000" w:rsidDel="00000000" w:rsidP="00000000" w:rsidRDefault="00000000" w:rsidRPr="00000000" w14:paraId="00000003">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Søren Sand,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color w:val="000000"/>
          <w:rtl w:val="0"/>
        </w:rPr>
        <w:t xml:space="preserve">F</w:t>
      </w:r>
      <w:r w:rsidDel="00000000" w:rsidR="00000000" w:rsidRPr="00000000">
        <w:rPr>
          <w:rFonts w:ascii="Times New Roman" w:cs="Times New Roman" w:eastAsia="Times New Roman" w:hAnsi="Times New Roman"/>
          <w:b w:val="1"/>
          <w:rtl w:val="0"/>
        </w:rPr>
        <w:t xml:space="preserve">undadora</w:t>
      </w:r>
      <w:r w:rsidDel="00000000" w:rsidR="00000000" w:rsidRPr="00000000">
        <w:rPr>
          <w:rFonts w:ascii="Times New Roman" w:cs="Times New Roman" w:eastAsia="Times New Roman" w:hAnsi="Times New Roman"/>
          <w:b w:val="1"/>
          <w:color w:val="000000"/>
          <w:rtl w:val="0"/>
        </w:rPr>
        <w:t xml:space="preserve">, Sand Copenhagen</w:t>
      </w: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que los minoristas puedan minimizar sus riesgos, deberían parar de mirar a sus competidores, y al contrario enfocarse en aprender todo lo que puedan de sus clientes. Construyendo una base de clientes leales es crucial para asegurar tu futuro, independientemente de si gestionas una marca de moda global o una tienda multimarca local.</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Además, mejorando la experiencia en tienda y creando un ambiente inspirador y cambiante hará que tus clientes vuelvan. Si tienes una tienda online, también deberías invertir en su integración con tus unidades de retail para crear un efecto omnichannel, donde tus clientes puedan inspirarse online y posteriormente realizar la compra en la tienda, o al contrario.</w:t>
      </w:r>
    </w:p>
    <w:p w:rsidR="00000000" w:rsidDel="00000000" w:rsidP="00000000" w:rsidRDefault="00000000" w:rsidRPr="00000000" w14:paraId="0000000A">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B">
      <w:pPr>
        <w:contextualSpacing w:val="0"/>
        <w:rPr>
          <w:rFonts w:ascii="Times New Roman" w:cs="Times New Roman" w:eastAsia="Times New Roman" w:hAnsi="Times New Roman"/>
          <w:color w:val="000000"/>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