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MIPEL – THE BAG SHOW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114ª edición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MIPEL – TheBagShow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un trade show profesional dedicado a bolsos y accesorios, tendrá lugar en septiembre. El evento, organizado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Aimpes Servizi S.r.l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y promocionado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ASSOPELLETTIERI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acogerá a más de 300 marcas internacionales y más de 12.000 visitantes de todo el mundo, incluyendo países como Japón, Corea, Rusia y EE.UU. La edición contará con varias secciones especiales, incluyendo “Memories Box”, un área que se centrará en experiencias olfativas en el viaje de un cliente; “The Glamourous”, presentando, presentando diseñadores emergentes del lujo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Emanuela Caruso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Roberto di Stefano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y “MIPEL Tailor-made”, fomentando colaboraciones entre compañías de piel y jóvenes diseñadores a través de la creación de colecciones cápsula.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Rho - FieraMilano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www.mipel.com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00" w:before="100" w:lineRule="auto"/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ip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