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PROFILE</w:t>
      </w:r>
    </w:p>
    <w:p w:rsidR="00000000" w:rsidDel="00000000" w:rsidP="00000000" w:rsidRDefault="00000000" w:rsidRPr="00000000" w14:paraId="00000001">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STRELLSON: FOMENTANDO MINORISTAS</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Strellson</w:t>
      </w:r>
      <w:r w:rsidDel="00000000" w:rsidR="00000000" w:rsidRPr="00000000">
        <w:rPr>
          <w:rFonts w:ascii="Times New Roman" w:cs="Times New Roman" w:eastAsia="Times New Roman" w:hAnsi="Times New Roman"/>
          <w:rtl w:val="0"/>
        </w:rPr>
        <w:t xml:space="preserve">, la marca de menswear de Suiza, espera un mayor crecimiento en su distribución. Con sus mercados clave en Alemania, Suiza, Francia, Holanda, Bélgica y Rusia, la marca está proyectando un incremento tanto en sus pedidos como en el número de sus socios tras ajustes estratégicos, particularmente en Alemania, BeNeLux y Suiza. La marca cuenta ya con más de 20 tiendas mono-marca en Rusia.  </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Strellson ofrece programas de apoyo a sus socios minoristas, incluyendo eventos de marketing, historias para sus escaparates, visual merchandising, incentivos para los empleados, planificación de producto participación en la inversión. Además, la innovación de producto está diseñada para atraer clientes. La última, “Cross-Flex Capsule”, comprende una combinación de materiales stretch y jersey permitiendo un confort y rendimiento máximos. Strellson también propone un número de doble dígito de modelos de trajes de temporada “mix &amp; match”, ofreciendo mayor flexibilidad a sus minoristas. El tema de esta temporada, “Englishman in New York”, presenta materiales como franela, Donegal, tweed, duvetine y pana junto con jersey, materiales de doble cara y cachemir, ofreciendo a las prendas un estilo contemporáneo. La paleta gira alrededor de clásicos como el gris, marrón oscuro, burdeos y azul oscuro, pero dependiendo en la fecha de entrega, los colores en contraste como el rojo real, naranja o amarillo, pueden estar también disponibles. </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www.strellson.com</w:t>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