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color w:val="1d21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d2129"/>
          <w:rtl w:val="0"/>
        </w:rPr>
        <w:t xml:space="preserve">Frédéric Maus, CEO, Who’s Next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color w:val="1d2129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color w:val="2121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highlight w:val="white"/>
          <w:rtl w:val="0"/>
        </w:rPr>
        <w:t xml:space="preserve">2019 será el año de la convergencia física y digital, tanto a pequeña como a gran escala. El mercado minorista y la moda necesitan progresar. Y, por supuesto, debemos recuperar el diseño y dar respuestas a este consumidor todopoderoso que se ha apoderado de la distribución, que para ser renovada, debe ser repensada por todos y para todos.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