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vertAlign w:val="baseline"/>
        </w:rPr>
      </w:pPr>
      <w:r w:rsidDel="00000000" w:rsidR="00000000" w:rsidRPr="00000000">
        <w:rPr>
          <w:vertAlign w:val="baseline"/>
          <w:rtl w:val="0"/>
        </w:rPr>
        <w:t xml:space="preserve">COOL ITEMS FOR CONCEPT STORES</w:t>
      </w:r>
    </w:p>
    <w:p w:rsidR="00000000" w:rsidDel="00000000" w:rsidP="00000000" w:rsidRDefault="00000000" w:rsidRPr="00000000" w14:paraId="00000001">
      <w:pPr>
        <w:contextualSpacing w:val="0"/>
        <w:rPr>
          <w:b w:val="0"/>
          <w:vertAlign w:val="baseline"/>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b w:val="1"/>
          <w:vertAlign w:val="baseline"/>
          <w:rtl w:val="0"/>
        </w:rPr>
        <w:t xml:space="preserve">KJ BIKES</w:t>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SILLINES CENTELLEANTES</w:t>
      </w:r>
      <w:r w:rsidDel="00000000" w:rsidR="00000000" w:rsidRPr="00000000">
        <w:rPr>
          <w:rtl w:val="0"/>
        </w:rPr>
      </w:r>
    </w:p>
    <w:p w:rsidR="00000000" w:rsidDel="00000000" w:rsidP="00000000" w:rsidRDefault="00000000" w:rsidRPr="00000000" w14:paraId="00000004">
      <w:pPr>
        <w:contextualSpacing w:val="0"/>
        <w:rPr>
          <w:vertAlign w:val="baseline"/>
        </w:rPr>
      </w:pPr>
      <w:r w:rsidDel="00000000" w:rsidR="00000000" w:rsidRPr="00000000">
        <w:rPr>
          <w:rtl w:val="0"/>
        </w:rPr>
      </w:r>
    </w:p>
    <w:p w:rsidR="00000000" w:rsidDel="00000000" w:rsidP="00000000" w:rsidRDefault="00000000" w:rsidRPr="00000000" w14:paraId="00000005">
      <w:pPr>
        <w:contextualSpacing w:val="0"/>
        <w:rPr>
          <w:vertAlign w:val="baseline"/>
        </w:rPr>
      </w:pPr>
      <w:r w:rsidDel="00000000" w:rsidR="00000000" w:rsidRPr="00000000">
        <w:rPr>
          <w:highlight w:val="white"/>
          <w:rtl w:val="0"/>
        </w:rPr>
        <w:t xml:space="preserve">En un mundo en el que dos ruedas es bueno, y cuatro ruedas malo, hay una gran cantidad de opciones para aquellos que quieran comprar una bicicleta de moda, pero </w:t>
      </w:r>
      <w:r w:rsidDel="00000000" w:rsidR="00000000" w:rsidRPr="00000000">
        <w:rPr>
          <w:b w:val="1"/>
          <w:highlight w:val="white"/>
          <w:rtl w:val="0"/>
        </w:rPr>
        <w:t xml:space="preserve">KJ Bikes</w:t>
      </w:r>
      <w:r w:rsidDel="00000000" w:rsidR="00000000" w:rsidRPr="00000000">
        <w:rPr>
          <w:highlight w:val="white"/>
          <w:rtl w:val="0"/>
        </w:rPr>
        <w:t xml:space="preserve"> han subido el listón con sus colecciones de combinaciones de colores - </w:t>
      </w:r>
      <w:r w:rsidDel="00000000" w:rsidR="00000000" w:rsidRPr="00000000">
        <w:rPr>
          <w:b w:val="1"/>
          <w:highlight w:val="white"/>
          <w:rtl w:val="0"/>
        </w:rPr>
        <w:t xml:space="preserve">Ready to where? </w:t>
      </w:r>
      <w:r w:rsidDel="00000000" w:rsidR="00000000" w:rsidRPr="00000000">
        <w:rPr>
          <w:highlight w:val="white"/>
          <w:rtl w:val="0"/>
        </w:rPr>
        <w:t xml:space="preserve">y </w:t>
      </w:r>
      <w:r w:rsidDel="00000000" w:rsidR="00000000" w:rsidRPr="00000000">
        <w:rPr>
          <w:b w:val="1"/>
          <w:highlight w:val="white"/>
          <w:rtl w:val="0"/>
        </w:rPr>
        <w:t xml:space="preserve">#Londoneccentric</w:t>
      </w:r>
      <w:r w:rsidDel="00000000" w:rsidR="00000000" w:rsidRPr="00000000">
        <w:rPr>
          <w:highlight w:val="white"/>
          <w:rtl w:val="0"/>
        </w:rPr>
        <w:t xml:space="preserve">. Brillantes durante el día, reflectante por la noche, éstas consisten en bicicletas de una sola velocidad con un diseño excelente, perfectas para el ciclista urbano: llamativas y vibrantes al tiempo que proyectan una personalidad elegante que asegura que el ciclista sea visto y permanezca seguro: sin necesidad de chaqueta de alta visibilidad . El tamaño de los cuadros de la bicicleta varía entre 50 cm y 58 cm, lo que significa que no son ideales para personas de más de 185 cm de altura, lo que es una limitación. Sin embargo, para los menores de 185 cm, que tienen un sentido de diversión y disfrutan con diseños llamativos, esta es definitivamente su marca de bicicleta. Los precios de venta al público empiezan a partir de 562 euros.</w:t>
      </w:r>
      <w:r w:rsidDel="00000000" w:rsidR="00000000" w:rsidRPr="00000000">
        <w:rPr>
          <w:rtl w:val="0"/>
        </w:rPr>
      </w:r>
    </w:p>
    <w:p w:rsidR="00000000" w:rsidDel="00000000" w:rsidP="00000000" w:rsidRDefault="00000000" w:rsidRPr="00000000" w14:paraId="00000006">
      <w:pPr>
        <w:contextualSpacing w:val="0"/>
        <w:rPr>
          <w:b w:val="0"/>
          <w:vertAlign w:val="baseline"/>
        </w:rPr>
      </w:pPr>
      <w:r w:rsidDel="00000000" w:rsidR="00000000" w:rsidRPr="00000000">
        <w:rPr>
          <w:b w:val="1"/>
          <w:vertAlign w:val="baseline"/>
          <w:rtl w:val="0"/>
        </w:rPr>
        <w:t xml:space="preserve">www.kjbikes.com</w:t>
        <w:br w:type="textWrapping"/>
      </w:r>
      <w:r w:rsidDel="00000000" w:rsidR="00000000" w:rsidRPr="00000000">
        <w:rPr>
          <w:rtl w:val="0"/>
        </w:rPr>
      </w:r>
    </w:p>
    <w:p w:rsidR="00000000" w:rsidDel="00000000" w:rsidP="00000000" w:rsidRDefault="00000000" w:rsidRPr="00000000" w14:paraId="00000007">
      <w:pPr>
        <w:contextualSpacing w:val="0"/>
        <w:rPr>
          <w:b w:val="0"/>
          <w:vertAlign w:val="baseline"/>
        </w:rPr>
      </w:pPr>
      <w:r w:rsidDel="00000000" w:rsidR="00000000" w:rsidRPr="00000000">
        <w:rPr>
          <w:b w:val="1"/>
          <w:vertAlign w:val="baseline"/>
          <w:rtl w:val="0"/>
        </w:rPr>
        <w:t xml:space="preserve">AOTTA</w:t>
      </w:r>
      <w:r w:rsidDel="00000000" w:rsidR="00000000" w:rsidRPr="00000000">
        <w:rPr>
          <w:rtl w:val="0"/>
        </w:rPr>
      </w:r>
    </w:p>
    <w:p w:rsidR="00000000" w:rsidDel="00000000" w:rsidP="00000000" w:rsidRDefault="00000000" w:rsidRPr="00000000" w14:paraId="00000008">
      <w:pPr>
        <w:contextualSpacing w:val="0"/>
        <w:rPr>
          <w:vertAlign w:val="baseline"/>
        </w:rPr>
      </w:pPr>
      <w:r w:rsidDel="00000000" w:rsidR="00000000" w:rsidRPr="00000000">
        <w:rPr>
          <w:vertAlign w:val="baseline"/>
          <w:rtl w:val="0"/>
        </w:rPr>
        <w:t xml:space="preserve">VODKA LAMP</w:t>
      </w:r>
    </w:p>
    <w:p w:rsidR="00000000" w:rsidDel="00000000" w:rsidP="00000000" w:rsidRDefault="00000000" w:rsidRPr="00000000" w14:paraId="00000009">
      <w:pPr>
        <w:contextualSpacing w:val="0"/>
        <w:rPr>
          <w:vertAlign w:val="baseline"/>
        </w:rPr>
      </w:pPr>
      <w:r w:rsidDel="00000000" w:rsidR="00000000" w:rsidRPr="00000000">
        <w:rPr>
          <w:rtl w:val="0"/>
        </w:rPr>
      </w:r>
    </w:p>
    <w:p w:rsidR="00000000" w:rsidDel="00000000" w:rsidP="00000000" w:rsidRDefault="00000000" w:rsidRPr="00000000" w14:paraId="0000000A">
      <w:pPr>
        <w:contextualSpacing w:val="0"/>
        <w:rPr>
          <w:vertAlign w:val="baseline"/>
        </w:rPr>
      </w:pPr>
      <w:r w:rsidDel="00000000" w:rsidR="00000000" w:rsidRPr="00000000">
        <w:rPr>
          <w:b w:val="1"/>
          <w:highlight w:val="white"/>
          <w:rtl w:val="0"/>
        </w:rPr>
        <w:t xml:space="preserve">Aotta</w:t>
      </w:r>
      <w:r w:rsidDel="00000000" w:rsidR="00000000" w:rsidRPr="00000000">
        <w:rPr>
          <w:highlight w:val="white"/>
          <w:rtl w:val="0"/>
        </w:rPr>
        <w:t xml:space="preserve"> es un estudio de diseño ruso galardonado que se especializa en la investigación y la creación de objetos que encarnan el concepto de ecología y un uso racional de los recursos del planeta. Hecho de cristal, aluminio, corcho y fresno</w:t>
      </w:r>
      <w:r w:rsidDel="00000000" w:rsidR="00000000" w:rsidRPr="00000000">
        <w:rPr>
          <w:rtl w:val="0"/>
        </w:rPr>
        <w:t xml:space="preserve"> – </w:t>
      </w:r>
      <w:r w:rsidDel="00000000" w:rsidR="00000000" w:rsidRPr="00000000">
        <w:rPr>
          <w:highlight w:val="white"/>
          <w:rtl w:val="0"/>
        </w:rPr>
        <w:t xml:space="preserve">¡y vodka! </w:t>
      </w:r>
      <w:r w:rsidDel="00000000" w:rsidR="00000000" w:rsidRPr="00000000">
        <w:rPr>
          <w:rtl w:val="0"/>
        </w:rPr>
        <w:t xml:space="preserve"> – </w:t>
      </w:r>
      <w:r w:rsidDel="00000000" w:rsidR="00000000" w:rsidRPr="00000000">
        <w:rPr>
          <w:highlight w:val="white"/>
          <w:rtl w:val="0"/>
        </w:rPr>
        <w:t xml:space="preserve"> su colgante </w:t>
      </w:r>
      <w:r w:rsidDel="00000000" w:rsidR="00000000" w:rsidRPr="00000000">
        <w:rPr>
          <w:b w:val="1"/>
          <w:highlight w:val="white"/>
          <w:rtl w:val="0"/>
        </w:rPr>
        <w:t xml:space="preserve">“Vodka Lamp”</w:t>
      </w:r>
      <w:r w:rsidDel="00000000" w:rsidR="00000000" w:rsidRPr="00000000">
        <w:rPr>
          <w:highlight w:val="white"/>
          <w:rtl w:val="0"/>
        </w:rPr>
        <w:t xml:space="preserve"> es una versión poética, pero también irónica, de una de las exportaciones más famosas de Rusia. Cuando se toca, el líquido dentro de la Vodka Lamp se mueve suavemente en sintonía con un punto de luz de un módulo LED instalado en la parte superior del sello impermeable del recipiente, creando una iluminación ambiental tenue y enternecedora. Sellado herméticamente en el frasco, la composición química del líquido no se echará a perder y permanecerá en la misma condición durante toda la vida.</w:t>
      </w:r>
      <w:r w:rsidDel="00000000" w:rsidR="00000000" w:rsidRPr="00000000">
        <w:rPr>
          <w:rtl w:val="0"/>
        </w:rPr>
      </w:r>
    </w:p>
    <w:p w:rsidR="00000000" w:rsidDel="00000000" w:rsidP="00000000" w:rsidRDefault="00000000" w:rsidRPr="00000000" w14:paraId="0000000B">
      <w:pPr>
        <w:contextualSpacing w:val="0"/>
        <w:rPr>
          <w:vertAlign w:val="baseline"/>
        </w:rPr>
      </w:pPr>
      <w:hyperlink r:id="rId6">
        <w:r w:rsidDel="00000000" w:rsidR="00000000" w:rsidRPr="00000000">
          <w:rPr>
            <w:u w:val="single"/>
            <w:vertAlign w:val="baseline"/>
            <w:rtl w:val="0"/>
          </w:rPr>
          <w:t xml:space="preserve">https://aotta.com</w:t>
        </w:r>
      </w:hyperlink>
      <w:r w:rsidDel="00000000" w:rsidR="00000000" w:rsidRPr="00000000">
        <w:rPr>
          <w:vertAlign w:val="baseline"/>
          <w:rtl w:val="0"/>
        </w:rPr>
        <w:t xml:space="preserve"> </w:t>
      </w:r>
    </w:p>
    <w:p w:rsidR="00000000" w:rsidDel="00000000" w:rsidP="00000000" w:rsidRDefault="00000000" w:rsidRPr="00000000" w14:paraId="0000000C">
      <w:pPr>
        <w:contextualSpacing w:val="0"/>
        <w:rPr>
          <w:vertAlign w:val="baseline"/>
        </w:rPr>
      </w:pPr>
      <w:r w:rsidDel="00000000" w:rsidR="00000000" w:rsidRPr="00000000">
        <w:rPr>
          <w:rtl w:val="0"/>
        </w:rPr>
      </w:r>
    </w:p>
    <w:p w:rsidR="00000000" w:rsidDel="00000000" w:rsidP="00000000" w:rsidRDefault="00000000" w:rsidRPr="00000000" w14:paraId="0000000D">
      <w:pPr>
        <w:contextualSpacing w:val="0"/>
        <w:rPr>
          <w:b w:val="0"/>
          <w:vertAlign w:val="baseline"/>
        </w:rPr>
      </w:pPr>
      <w:r w:rsidDel="00000000" w:rsidR="00000000" w:rsidRPr="00000000">
        <w:rPr>
          <w:b w:val="1"/>
          <w:vertAlign w:val="baseline"/>
          <w:rtl w:val="0"/>
        </w:rPr>
        <w:t xml:space="preserve">SMOG FREE RING</w:t>
      </w:r>
      <w:r w:rsidDel="00000000" w:rsidR="00000000" w:rsidRPr="00000000">
        <w:rPr>
          <w:rtl w:val="0"/>
        </w:rPr>
      </w:r>
    </w:p>
    <w:p w:rsidR="00000000" w:rsidDel="00000000" w:rsidP="00000000" w:rsidRDefault="00000000" w:rsidRPr="00000000" w14:paraId="0000000E">
      <w:pPr>
        <w:contextualSpacing w:val="0"/>
        <w:rPr>
          <w:vertAlign w:val="baseline"/>
        </w:rPr>
      </w:pPr>
      <w:r w:rsidDel="00000000" w:rsidR="00000000" w:rsidRPr="00000000">
        <w:rPr>
          <w:rtl w:val="0"/>
        </w:rPr>
        <w:t xml:space="preserve">ABALORIO </w:t>
      </w:r>
      <w:r w:rsidDel="00000000" w:rsidR="00000000" w:rsidRPr="00000000">
        <w:rPr>
          <w:vertAlign w:val="baseline"/>
          <w:rtl w:val="0"/>
        </w:rPr>
        <w:t xml:space="preserve">ECO</w:t>
      </w:r>
    </w:p>
    <w:p w:rsidR="00000000" w:rsidDel="00000000" w:rsidP="00000000" w:rsidRDefault="00000000" w:rsidRPr="00000000" w14:paraId="0000000F">
      <w:pPr>
        <w:contextualSpacing w:val="0"/>
        <w:rPr>
          <w:vertAlign w:val="baseline"/>
        </w:rPr>
      </w:pPr>
      <w:r w:rsidDel="00000000" w:rsidR="00000000" w:rsidRPr="00000000">
        <w:rPr>
          <w:rtl w:val="0"/>
        </w:rPr>
      </w:r>
    </w:p>
    <w:p w:rsidR="00000000" w:rsidDel="00000000" w:rsidP="00000000" w:rsidRDefault="00000000" w:rsidRPr="00000000" w14:paraId="00000010">
      <w:pPr>
        <w:contextualSpacing w:val="0"/>
        <w:rPr>
          <w:vertAlign w:val="baseline"/>
        </w:rPr>
      </w:pPr>
      <w:r w:rsidDel="00000000" w:rsidR="00000000" w:rsidRPr="00000000">
        <w:rPr>
          <w:highlight w:val="white"/>
          <w:rtl w:val="0"/>
        </w:rPr>
        <w:t xml:space="preserve">El </w:t>
      </w:r>
      <w:r w:rsidDel="00000000" w:rsidR="00000000" w:rsidRPr="00000000">
        <w:rPr>
          <w:b w:val="1"/>
          <w:highlight w:val="white"/>
          <w:rtl w:val="0"/>
        </w:rPr>
        <w:t xml:space="preserve">‘Smog Free Ring’</w:t>
      </w:r>
      <w:r w:rsidDel="00000000" w:rsidR="00000000" w:rsidRPr="00000000">
        <w:rPr>
          <w:highlight w:val="white"/>
          <w:rtl w:val="0"/>
        </w:rPr>
        <w:t xml:space="preserve"> de </w:t>
      </w:r>
      <w:r w:rsidDel="00000000" w:rsidR="00000000" w:rsidRPr="00000000">
        <w:rPr>
          <w:b w:val="1"/>
          <w:highlight w:val="white"/>
          <w:rtl w:val="0"/>
        </w:rPr>
        <w:t xml:space="preserve">Studio Roosegaarde</w:t>
      </w:r>
      <w:r w:rsidDel="00000000" w:rsidR="00000000" w:rsidRPr="00000000">
        <w:rPr>
          <w:highlight w:val="white"/>
          <w:rtl w:val="0"/>
        </w:rPr>
        <w:t xml:space="preserve"> es el producto perfecto para el consumidor escrupuloso. Su núcleo negro está hecho de partículas de smog comprimidas, que se recolectan del proyecto paralelo del estudio </w:t>
      </w:r>
      <w:r w:rsidDel="00000000" w:rsidR="00000000" w:rsidRPr="00000000">
        <w:rPr>
          <w:b w:val="1"/>
          <w:highlight w:val="white"/>
          <w:rtl w:val="0"/>
        </w:rPr>
        <w:t xml:space="preserve">Smog Free Tower</w:t>
      </w:r>
      <w:r w:rsidDel="00000000" w:rsidR="00000000" w:rsidRPr="00000000">
        <w:rPr>
          <w:highlight w:val="white"/>
          <w:rtl w:val="0"/>
        </w:rPr>
        <w:t xml:space="preserve">, una estructura de siete metros que limpia el aire en espacios públicos en los Países Bajos, Polonia y China. Cada anillo comprado dona 1000 metros cúbicos de aire limpio a la ciudad. Los anillos, que están destinados a "mostrar la belleza del aire limpio", son un ejemplo pionero de cómo la producción de un artículo o accesorio de moda puede iniciar una conversación sobre el medio ambiente. Siendo la sostenibilidad un tema tan importante para la industria, esto ofrece a los minoristas y consumidores una forma fácil y atractiva de considerar un tema importante. Los precios de venta al público empiezan en 250 EUR.</w:t>
      </w:r>
      <w:r w:rsidDel="00000000" w:rsidR="00000000" w:rsidRPr="00000000">
        <w:rPr>
          <w:rtl w:val="0"/>
        </w:rPr>
      </w:r>
    </w:p>
    <w:p w:rsidR="00000000" w:rsidDel="00000000" w:rsidP="00000000" w:rsidRDefault="00000000" w:rsidRPr="00000000" w14:paraId="00000011">
      <w:pPr>
        <w:contextualSpacing w:val="0"/>
        <w:rPr>
          <w:vertAlign w:val="baseline"/>
        </w:rPr>
      </w:pPr>
      <w:hyperlink r:id="rId7">
        <w:r w:rsidDel="00000000" w:rsidR="00000000" w:rsidRPr="00000000">
          <w:rPr>
            <w:u w:val="single"/>
            <w:vertAlign w:val="baseline"/>
            <w:rtl w:val="0"/>
          </w:rPr>
          <w:t xml:space="preserve">https://www.studioroosegaarde.net/project/smog-free-ring</w:t>
        </w:r>
      </w:hyperlink>
      <w:r w:rsidDel="00000000" w:rsidR="00000000" w:rsidRPr="00000000">
        <w:rPr>
          <w:rtl w:val="0"/>
        </w:rPr>
      </w:r>
    </w:p>
    <w:sectPr>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otta.com" TargetMode="External"/><Relationship Id="rId7" Type="http://schemas.openxmlformats.org/officeDocument/2006/relationships/hyperlink" Target="https://www.studioroosegaarde.net/project/smog-fr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