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(PRE)COTERIE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212121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212121"/>
          <w:highlight w:val="white"/>
          <w:rtl w:val="0"/>
        </w:rPr>
        <w:t xml:space="preserve">Teniendo lugar en Nueva York para su segunda edición,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highlight w:val="white"/>
          <w:rtl w:val="0"/>
        </w:rPr>
        <w:t xml:space="preserve">(Pre)Coterie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highlight w:val="white"/>
          <w:rtl w:val="0"/>
        </w:rPr>
        <w:t xml:space="preserve"> se llevará a cabo del 9 al 11 de junio después de la New York Fashion Week. Tras el éxito de su primera edición, el principal evento global de moda para mujer organizado por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highlight w:val="white"/>
          <w:rtl w:val="0"/>
        </w:rPr>
        <w:t xml:space="preserve">UBM Fashion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highlight w:val="white"/>
          <w:rtl w:val="0"/>
        </w:rPr>
        <w:t xml:space="preserve"> se centrará principalmente en moda de resort, incluyendo marcas de Australia, Brasil y Colombia. Además, el evento de junio presentará marcas de ropa, accesorios de diseñador, joyería fina, moda de baño y moda deportiva. La sección "Vintage @ Coterie" volverá a exponer curaciones únicas y de lujo para minoristas y coleccionistas privados. Las secciones vintage y de belleza estarán abiertas tanto para profesionales como para el público, lo que ampliará aún más el alcance del evento.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9-11 junio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Jacob Javits Center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ueva York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EE.UU.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www.ubmfashion.com/shows/coterie-1.5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ubmfashion.com/shows/coterie-1.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